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52EE7" w14:textId="5634DE70" w:rsidR="006D4D70" w:rsidRPr="003F2F99" w:rsidRDefault="00192071" w:rsidP="006D4D70">
      <w:pPr>
        <w:spacing w:after="0"/>
        <w:ind w:left="1985" w:hanging="1985"/>
        <w:rPr>
          <w:rFonts w:ascii="Arial" w:eastAsiaTheme="minorEastAsia" w:hAnsi="Arial" w:cs="Arial"/>
          <w:b/>
          <w:sz w:val="24"/>
          <w:szCs w:val="24"/>
          <w:lang w:eastAsia="zh-CN"/>
        </w:rPr>
      </w:pPr>
      <w:bookmarkStart w:id="0" w:name="Title"/>
      <w:bookmarkStart w:id="1" w:name="DocumentFor"/>
      <w:bookmarkEnd w:id="0"/>
      <w:bookmarkEnd w:id="1"/>
      <w:r w:rsidRPr="00F542A0">
        <w:rPr>
          <w:rFonts w:ascii="Arial" w:eastAsia="SimSun" w:hAnsi="Arial" w:cs="Arial"/>
          <w:b/>
          <w:sz w:val="24"/>
          <w:szCs w:val="24"/>
          <w:lang w:eastAsia="zh-CN"/>
        </w:rPr>
        <w:t>3GPP TSG-RAN WG4 Meeting #11</w:t>
      </w:r>
      <w:r w:rsidR="00B929BA">
        <w:rPr>
          <w:rFonts w:ascii="Arial" w:eastAsia="SimSun" w:hAnsi="Arial" w:cs="Arial"/>
          <w:b/>
          <w:sz w:val="24"/>
          <w:szCs w:val="24"/>
          <w:lang w:eastAsia="zh-CN"/>
        </w:rPr>
        <w:t>6</w:t>
      </w:r>
      <w:r w:rsidR="00000DE9">
        <w:rPr>
          <w:rFonts w:ascii="Arial" w:eastAsia="SimSun" w:hAnsi="Arial" w:cs="Arial"/>
          <w:b/>
          <w:sz w:val="24"/>
          <w:szCs w:val="24"/>
          <w:lang w:eastAsia="zh-CN"/>
        </w:rPr>
        <w:t>b</w:t>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Pr>
          <w:rFonts w:ascii="Arial" w:eastAsiaTheme="minorEastAsia" w:hAnsi="Arial" w:cs="Arial"/>
          <w:b/>
          <w:sz w:val="24"/>
          <w:szCs w:val="24"/>
          <w:lang w:eastAsia="zh-CN"/>
        </w:rPr>
        <w:t xml:space="preserve">         </w:t>
      </w:r>
      <w:r w:rsidR="006D4D70">
        <w:rPr>
          <w:rFonts w:ascii="Arial" w:eastAsiaTheme="minorEastAsia" w:hAnsi="Arial" w:cs="Arial"/>
          <w:b/>
          <w:sz w:val="24"/>
          <w:szCs w:val="24"/>
          <w:lang w:eastAsia="zh-CN"/>
        </w:rPr>
        <w:tab/>
      </w:r>
      <w:r w:rsidR="009F673B">
        <w:rPr>
          <w:rFonts w:ascii="Arial" w:eastAsiaTheme="minorEastAsia" w:hAnsi="Arial" w:cs="Arial"/>
          <w:b/>
          <w:sz w:val="24"/>
          <w:szCs w:val="24"/>
          <w:lang w:eastAsia="zh-CN"/>
        </w:rPr>
        <w:t xml:space="preserve">       </w:t>
      </w:r>
      <w:r w:rsidR="002A1649">
        <w:rPr>
          <w:rFonts w:ascii="Arial" w:eastAsiaTheme="minorEastAsia" w:hAnsi="Arial" w:cs="Arial"/>
          <w:b/>
          <w:sz w:val="24"/>
          <w:szCs w:val="24"/>
          <w:lang w:eastAsia="zh-CN"/>
        </w:rPr>
        <w:tab/>
      </w:r>
      <w:r w:rsidR="006D4D70" w:rsidRPr="00407D85">
        <w:rPr>
          <w:rFonts w:ascii="Arial" w:eastAsiaTheme="minorEastAsia" w:hAnsi="Arial" w:cs="Arial"/>
          <w:b/>
          <w:sz w:val="24"/>
          <w:szCs w:val="24"/>
          <w:lang w:eastAsia="zh-CN"/>
        </w:rPr>
        <w:t>R4-2</w:t>
      </w:r>
      <w:r>
        <w:rPr>
          <w:rFonts w:ascii="Arial" w:eastAsiaTheme="minorEastAsia" w:hAnsi="Arial" w:cs="Arial"/>
          <w:b/>
          <w:sz w:val="24"/>
          <w:szCs w:val="24"/>
          <w:lang w:eastAsia="zh-CN"/>
        </w:rPr>
        <w:t>5</w:t>
      </w:r>
      <w:r w:rsidR="00013DAB">
        <w:rPr>
          <w:rFonts w:ascii="Arial" w:eastAsiaTheme="minorEastAsia" w:hAnsi="Arial" w:cs="Arial"/>
          <w:b/>
          <w:sz w:val="24"/>
          <w:szCs w:val="24"/>
          <w:lang w:eastAsia="zh-CN"/>
        </w:rPr>
        <w:t>13742</w:t>
      </w:r>
    </w:p>
    <w:p w14:paraId="6DBE8E3F" w14:textId="77777777" w:rsidR="00000DE9" w:rsidRDefault="00000DE9" w:rsidP="0014219D">
      <w:pPr>
        <w:tabs>
          <w:tab w:val="left" w:pos="1985"/>
        </w:tabs>
        <w:spacing w:after="0"/>
        <w:jc w:val="both"/>
        <w:rPr>
          <w:rFonts w:ascii="Arial" w:eastAsia="SimSun" w:hAnsi="Arial" w:cs="Arial"/>
          <w:b/>
          <w:noProof/>
          <w:sz w:val="24"/>
          <w:szCs w:val="24"/>
          <w:lang w:val="en-US" w:eastAsia="zh-CN"/>
        </w:rPr>
      </w:pPr>
      <w:r w:rsidRPr="00F021EC">
        <w:rPr>
          <w:rFonts w:ascii="Arial" w:eastAsia="SimSun" w:hAnsi="Arial" w:cs="Arial"/>
          <w:b/>
          <w:noProof/>
          <w:sz w:val="24"/>
          <w:szCs w:val="24"/>
          <w:lang w:val="en-US" w:eastAsia="zh-CN"/>
        </w:rPr>
        <w:t>Prague, Czech Republic, Oct. 13-17, 2025</w:t>
      </w:r>
    </w:p>
    <w:p w14:paraId="00E0F9E6" w14:textId="55C56FB5" w:rsidR="005F6C67"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A27AA3" w:rsidRPr="00A27AA3">
        <w:rPr>
          <w:rFonts w:ascii="Arial" w:hAnsi="Arial" w:cs="Arial"/>
          <w:bCs/>
          <w:sz w:val="22"/>
        </w:rPr>
        <w:t>Verification of RB&amp;BW extension framework for 2Tx PC2</w:t>
      </w:r>
      <w:r w:rsidR="008A6391">
        <w:rPr>
          <w:rFonts w:ascii="Arial" w:hAnsi="Arial" w:cs="Arial"/>
          <w:bCs/>
          <w:sz w:val="22"/>
        </w:rPr>
        <w:t>/</w:t>
      </w:r>
      <w:r w:rsidR="00A27AA3" w:rsidRPr="00A27AA3">
        <w:rPr>
          <w:rFonts w:ascii="Arial" w:hAnsi="Arial" w:cs="Arial"/>
          <w:bCs/>
          <w:sz w:val="22"/>
        </w:rPr>
        <w:t>1.5</w:t>
      </w:r>
      <w:r w:rsidR="008A6391">
        <w:rPr>
          <w:rFonts w:ascii="Arial" w:hAnsi="Arial" w:cs="Arial"/>
          <w:bCs/>
          <w:sz w:val="22"/>
        </w:rPr>
        <w:t xml:space="preserve"> and R18 boosting</w:t>
      </w:r>
    </w:p>
    <w:p w14:paraId="195DA234" w14:textId="488A68BD"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p>
    <w:p w14:paraId="424ADD1F" w14:textId="77777777" w:rsidR="00000DE9" w:rsidRDefault="00E61455" w:rsidP="000D667B">
      <w:pPr>
        <w:tabs>
          <w:tab w:val="left" w:pos="1985"/>
        </w:tabs>
        <w:spacing w:after="0"/>
        <w:rPr>
          <w:rFonts w:ascii="Arial" w:hAnsi="Arial" w:cs="Arial"/>
          <w:bCs/>
          <w:sz w:val="22"/>
        </w:rPr>
      </w:pPr>
      <w:r w:rsidRPr="009303F1">
        <w:rPr>
          <w:rFonts w:ascii="Arial" w:hAnsi="Arial" w:cs="Arial"/>
          <w:b/>
          <w:sz w:val="22"/>
          <w:lang w:val="en-US"/>
        </w:rPr>
        <w:t>Agenda Item:</w:t>
      </w:r>
      <w:r w:rsidRPr="009303F1">
        <w:rPr>
          <w:rFonts w:ascii="Arial" w:hAnsi="Arial" w:cs="Arial"/>
          <w:b/>
          <w:sz w:val="22"/>
          <w:lang w:val="en-US"/>
        </w:rPr>
        <w:tab/>
      </w:r>
      <w:r w:rsidR="00000DE9" w:rsidRPr="00000DE9">
        <w:rPr>
          <w:rFonts w:ascii="Arial" w:hAnsi="Arial" w:cs="Arial"/>
          <w:bCs/>
          <w:sz w:val="22"/>
        </w:rPr>
        <w:t>4.6.1.2</w:t>
      </w:r>
      <w:r w:rsidR="00000DE9" w:rsidRPr="00000DE9">
        <w:rPr>
          <w:rFonts w:ascii="Arial" w:hAnsi="Arial" w:cs="Arial"/>
          <w:bCs/>
          <w:sz w:val="22"/>
        </w:rPr>
        <w:tab/>
        <w:t>Power domain enhancement for NR single carrier and NR intra-band UL CA for PC2 and PC3</w:t>
      </w:r>
      <w:r w:rsidR="00000DE9" w:rsidRPr="00000DE9">
        <w:rPr>
          <w:rFonts w:ascii="Arial" w:hAnsi="Arial" w:cs="Arial"/>
          <w:bCs/>
          <w:sz w:val="22"/>
        </w:rPr>
        <w:tab/>
        <w:t>[NR_ENDC_RF_Ph4-Core]</w:t>
      </w:r>
    </w:p>
    <w:p w14:paraId="5E188A5E" w14:textId="380F6963" w:rsidR="00E61455" w:rsidRPr="00B4277E" w:rsidRDefault="00E61455" w:rsidP="000D667B">
      <w:pPr>
        <w:tabs>
          <w:tab w:val="left" w:pos="1985"/>
        </w:tabs>
        <w:spacing w:after="0"/>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DB055E">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418AFB2B" w:rsidR="00F2750F" w:rsidRPr="00AB149D" w:rsidRDefault="00A37ACD" w:rsidP="00A37ACD">
      <w:pPr>
        <w:spacing w:after="0"/>
      </w:pPr>
      <w:bookmarkStart w:id="2" w:name="_Hlk149936446"/>
      <w:r>
        <w:t>In RAN</w:t>
      </w:r>
      <w:r w:rsidR="00700175">
        <w:t>4</w:t>
      </w:r>
      <w:r>
        <w:t>#1</w:t>
      </w:r>
      <w:r w:rsidR="00964C62">
        <w:t>1</w:t>
      </w:r>
      <w:r w:rsidR="00000DE9">
        <w:t>6</w:t>
      </w:r>
      <w:r w:rsidR="00B4277E">
        <w:t>,</w:t>
      </w:r>
      <w:r w:rsidR="00964C62">
        <w:t xml:space="preserve"> </w:t>
      </w:r>
      <w:bookmarkStart w:id="3" w:name="_Hlk165324434"/>
      <w:r w:rsidR="00000DE9">
        <w:t>the MPR reduction based on RB/BW extension feature was finalized and captured in Big CR [2]</w:t>
      </w:r>
      <w:r w:rsidR="006F76D2">
        <w:rPr>
          <w:rFonts w:eastAsia="Arial"/>
          <w:lang w:eastAsia="zh-CN"/>
        </w:rPr>
        <w:t xml:space="preserve">. </w:t>
      </w:r>
      <w:r w:rsidR="00A27AA3">
        <w:rPr>
          <w:rFonts w:eastAsia="Arial"/>
          <w:lang w:eastAsia="zh-CN"/>
        </w:rPr>
        <w:t>At this time</w:t>
      </w:r>
      <w:r w:rsidR="008A6391">
        <w:rPr>
          <w:rFonts w:eastAsia="Arial"/>
          <w:lang w:eastAsia="zh-CN"/>
        </w:rPr>
        <w:t>,</w:t>
      </w:r>
      <w:r w:rsidR="00A27AA3">
        <w:rPr>
          <w:rFonts w:eastAsia="Arial"/>
          <w:lang w:eastAsia="zh-CN"/>
        </w:rPr>
        <w:t xml:space="preserve"> the feature was restricted to PC2 and PC2 1Tx</w:t>
      </w:r>
      <w:r w:rsidR="008A6391">
        <w:rPr>
          <w:rFonts w:eastAsia="Arial"/>
          <w:lang w:eastAsia="zh-CN"/>
        </w:rPr>
        <w:t xml:space="preserve"> as indicated in the WI. Moreover, there </w:t>
      </w:r>
      <w:r w:rsidR="00434398">
        <w:rPr>
          <w:rFonts w:eastAsia="Arial"/>
          <w:lang w:eastAsia="zh-CN"/>
        </w:rPr>
        <w:t>were</w:t>
      </w:r>
      <w:r w:rsidR="008A6391">
        <w:rPr>
          <w:rFonts w:eastAsia="Arial"/>
          <w:lang w:eastAsia="zh-CN"/>
        </w:rPr>
        <w:t xml:space="preserve"> no evaluation</w:t>
      </w:r>
      <w:r w:rsidR="00434398">
        <w:rPr>
          <w:rFonts w:eastAsia="Arial"/>
          <w:lang w:eastAsia="zh-CN"/>
        </w:rPr>
        <w:t>s</w:t>
      </w:r>
      <w:r w:rsidR="008A6391">
        <w:rPr>
          <w:rFonts w:eastAsia="Arial"/>
          <w:lang w:eastAsia="zh-CN"/>
        </w:rPr>
        <w:t xml:space="preserve"> available for the 2Tx PC2 and 2Tx P</w:t>
      </w:r>
      <w:r w:rsidR="00B9675F">
        <w:rPr>
          <w:rFonts w:eastAsia="Arial"/>
          <w:lang w:eastAsia="zh-CN"/>
        </w:rPr>
        <w:t>C</w:t>
      </w:r>
      <w:r w:rsidR="008A6391">
        <w:rPr>
          <w:rFonts w:eastAsia="Arial"/>
          <w:lang w:eastAsia="zh-CN"/>
        </w:rPr>
        <w:t>1.5 cases.</w:t>
      </w:r>
      <w:r w:rsidR="00A27AA3">
        <w:rPr>
          <w:rFonts w:eastAsia="Arial"/>
          <w:lang w:eastAsia="zh-CN"/>
        </w:rPr>
        <w:t xml:space="preserve"> </w:t>
      </w:r>
      <w:r w:rsidR="006F76D2">
        <w:rPr>
          <w:rFonts w:eastAsia="Arial"/>
          <w:lang w:eastAsia="zh-CN"/>
        </w:rPr>
        <w:t xml:space="preserve">In this contribution, we provide </w:t>
      </w:r>
      <w:r w:rsidR="00AA5AE9">
        <w:rPr>
          <w:rFonts w:eastAsia="Arial"/>
          <w:lang w:eastAsia="zh-CN"/>
        </w:rPr>
        <w:t>measured verification</w:t>
      </w:r>
      <w:r w:rsidR="00434398">
        <w:rPr>
          <w:rFonts w:eastAsia="Arial"/>
          <w:lang w:eastAsia="zh-CN"/>
        </w:rPr>
        <w:t>s</w:t>
      </w:r>
      <w:r w:rsidR="00AA5AE9">
        <w:rPr>
          <w:rFonts w:eastAsia="Arial"/>
          <w:lang w:eastAsia="zh-CN"/>
        </w:rPr>
        <w:t xml:space="preserve"> </w:t>
      </w:r>
      <w:r w:rsidR="00B9675F">
        <w:rPr>
          <w:rFonts w:eastAsia="Arial"/>
          <w:lang w:eastAsia="zh-CN"/>
        </w:rPr>
        <w:t>for the 2Tx PC2 and 2Tx PC1.5 cases to make the MPR reduction based on RB/BW extension applicable to those cases too</w:t>
      </w:r>
      <w:r w:rsidR="00BD758B">
        <w:rPr>
          <w:rFonts w:eastAsia="Arial"/>
          <w:lang w:eastAsia="zh-CN"/>
        </w:rPr>
        <w:t>.</w:t>
      </w:r>
      <w:r w:rsidR="00B9675F">
        <w:rPr>
          <w:rFonts w:eastAsia="Arial"/>
          <w:lang w:eastAsia="zh-CN"/>
        </w:rPr>
        <w:t xml:space="preserve"> The same measurements are also used to ga</w:t>
      </w:r>
      <w:r w:rsidR="00434398">
        <w:rPr>
          <w:rFonts w:eastAsia="Arial"/>
          <w:lang w:eastAsia="zh-CN"/>
        </w:rPr>
        <w:t>u</w:t>
      </w:r>
      <w:r w:rsidR="00B9675F">
        <w:rPr>
          <w:rFonts w:eastAsia="Arial"/>
          <w:lang w:eastAsia="zh-CN"/>
        </w:rPr>
        <w:t>ge the applicability to the R18 power boosting option.</w:t>
      </w:r>
    </w:p>
    <w:bookmarkEnd w:id="2"/>
    <w:bookmarkEnd w:id="3"/>
    <w:p w14:paraId="61F277A6" w14:textId="76C9D869" w:rsidR="00343AA7" w:rsidRDefault="00B80DFB" w:rsidP="00446528">
      <w:pPr>
        <w:pStyle w:val="Heading1"/>
        <w:numPr>
          <w:ilvl w:val="0"/>
          <w:numId w:val="1"/>
        </w:numPr>
        <w:ind w:left="567" w:hanging="567"/>
      </w:pPr>
      <w:r>
        <w:t>Discussion</w:t>
      </w:r>
    </w:p>
    <w:p w14:paraId="376B59E6" w14:textId="748A0265" w:rsidR="006A1C52" w:rsidRDefault="006A1C52" w:rsidP="006A1C52">
      <w:pPr>
        <w:pStyle w:val="Heading2"/>
        <w:rPr>
          <w:rFonts w:eastAsia="Arial"/>
          <w:lang w:eastAsia="zh-CN"/>
        </w:rPr>
      </w:pPr>
      <w:r>
        <w:rPr>
          <w:rFonts w:eastAsia="Arial"/>
          <w:lang w:eastAsia="zh-CN"/>
        </w:rPr>
        <w:t>2.</w:t>
      </w:r>
      <w:r w:rsidR="008A6391">
        <w:rPr>
          <w:rFonts w:eastAsia="Arial"/>
          <w:lang w:eastAsia="zh-CN"/>
        </w:rPr>
        <w:t>1</w:t>
      </w:r>
      <w:r>
        <w:rPr>
          <w:rFonts w:eastAsia="Arial"/>
          <w:lang w:eastAsia="zh-CN"/>
        </w:rPr>
        <w:t xml:space="preserve"> Verification of extension ratio principles </w:t>
      </w:r>
      <w:r w:rsidR="005E5728">
        <w:rPr>
          <w:rFonts w:eastAsia="Arial"/>
          <w:lang w:eastAsia="zh-CN"/>
        </w:rPr>
        <w:t>for 2Tx PC2 and 2Tx PC1.5</w:t>
      </w:r>
      <w:r>
        <w:rPr>
          <w:rFonts w:eastAsia="Arial"/>
          <w:lang w:eastAsia="zh-CN"/>
        </w:rPr>
        <w:t>.</w:t>
      </w:r>
    </w:p>
    <w:p w14:paraId="676FD406" w14:textId="6E08E54B" w:rsidR="006A1C52" w:rsidRDefault="006A1C52" w:rsidP="006A1C52">
      <w:pPr>
        <w:rPr>
          <w:rFonts w:eastAsia="Arial"/>
          <w:lang w:eastAsia="zh-CN"/>
        </w:rPr>
      </w:pPr>
      <w:r>
        <w:rPr>
          <w:rFonts w:eastAsia="Arial"/>
          <w:lang w:eastAsia="zh-CN"/>
        </w:rPr>
        <w:t>To verify the proposed extension ratio principles</w:t>
      </w:r>
      <w:r w:rsidR="008A6391">
        <w:rPr>
          <w:rFonts w:eastAsia="Arial"/>
          <w:lang w:eastAsia="zh-CN"/>
        </w:rPr>
        <w:t xml:space="preserve"> for 1Tx PC2 and PC1.5,on top of the 1Tx PC3 and PC2 measurements provided in [1],</w:t>
      </w:r>
      <w:r>
        <w:rPr>
          <w:rFonts w:eastAsia="Arial"/>
          <w:lang w:eastAsia="zh-CN"/>
        </w:rPr>
        <w:t xml:space="preserve"> we have measured </w:t>
      </w:r>
      <w:r w:rsidR="008A6391">
        <w:rPr>
          <w:rFonts w:eastAsia="Arial"/>
          <w:lang w:eastAsia="zh-CN"/>
        </w:rPr>
        <w:t xml:space="preserve">the same waveforms in a 2Tx PC2 and PC1.5 setup for </w:t>
      </w:r>
      <w:r>
        <w:rPr>
          <w:rFonts w:eastAsia="Arial"/>
          <w:lang w:eastAsia="zh-CN"/>
        </w:rPr>
        <w:t xml:space="preserve">OOB emissions (ACLR/SEM/Spurious emissions for the worst-case proposed extensions ratios (asymmetric extension on the lower frequency </w:t>
      </w:r>
      <w:r w:rsidR="00F71C7A">
        <w:rPr>
          <w:rFonts w:eastAsia="Arial"/>
          <w:lang w:eastAsia="zh-CN"/>
        </w:rPr>
        <w:t xml:space="preserve">side </w:t>
      </w:r>
      <w:r>
        <w:rPr>
          <w:rFonts w:eastAsia="Arial"/>
          <w:lang w:eastAsia="zh-CN"/>
        </w:rPr>
        <w:t>as this has the lowest guard band) for 5, 20, 50 and 100MHz channel bandwidths.</w:t>
      </w:r>
    </w:p>
    <w:p w14:paraId="5EF7A5D6" w14:textId="22897C03" w:rsidR="006A1C52" w:rsidRDefault="006A1C52" w:rsidP="006A1C52">
      <w:pPr>
        <w:rPr>
          <w:rFonts w:eastAsia="Arial"/>
          <w:lang w:eastAsia="zh-CN"/>
        </w:rPr>
      </w:pPr>
      <w:r>
        <w:rPr>
          <w:rFonts w:eastAsia="Arial"/>
          <w:lang w:eastAsia="zh-CN"/>
        </w:rPr>
        <w:t>The raw analysis</w:t>
      </w:r>
      <w:r w:rsidR="008A6391">
        <w:rPr>
          <w:rFonts w:eastAsia="Arial"/>
          <w:lang w:eastAsia="zh-CN"/>
        </w:rPr>
        <w:t xml:space="preserve"> from [1] for 1Tx PC3 and 1Tx PC1 is copied in annex section 5.1 and 5.2 respectively. The raw analysis of the new measurements </w:t>
      </w:r>
      <w:r>
        <w:rPr>
          <w:rFonts w:eastAsia="Arial"/>
          <w:lang w:eastAsia="zh-CN"/>
        </w:rPr>
        <w:t xml:space="preserve">for </w:t>
      </w:r>
      <w:r w:rsidR="005E5728">
        <w:rPr>
          <w:rFonts w:eastAsia="Arial"/>
          <w:lang w:eastAsia="zh-CN"/>
        </w:rPr>
        <w:t xml:space="preserve">2Tx </w:t>
      </w:r>
      <w:r>
        <w:rPr>
          <w:rFonts w:eastAsia="Arial"/>
          <w:lang w:eastAsia="zh-CN"/>
        </w:rPr>
        <w:t>PC</w:t>
      </w:r>
      <w:r w:rsidR="005E5728">
        <w:rPr>
          <w:rFonts w:eastAsia="Arial"/>
          <w:lang w:eastAsia="zh-CN"/>
        </w:rPr>
        <w:t>2</w:t>
      </w:r>
      <w:r>
        <w:rPr>
          <w:rFonts w:eastAsia="Arial"/>
          <w:lang w:eastAsia="zh-CN"/>
        </w:rPr>
        <w:t xml:space="preserve"> is </w:t>
      </w:r>
      <w:r w:rsidR="008C0848">
        <w:rPr>
          <w:rFonts w:eastAsia="Arial"/>
          <w:lang w:eastAsia="zh-CN"/>
        </w:rPr>
        <w:t xml:space="preserve">presented </w:t>
      </w:r>
      <w:r>
        <w:rPr>
          <w:rFonts w:eastAsia="Arial"/>
          <w:lang w:eastAsia="zh-CN"/>
        </w:rPr>
        <w:t xml:space="preserve">in </w:t>
      </w:r>
      <w:r w:rsidR="008C0848">
        <w:rPr>
          <w:rFonts w:eastAsia="Arial"/>
          <w:lang w:eastAsia="zh-CN"/>
        </w:rPr>
        <w:t>A</w:t>
      </w:r>
      <w:r>
        <w:rPr>
          <w:rFonts w:eastAsia="Arial"/>
          <w:lang w:eastAsia="zh-CN"/>
        </w:rPr>
        <w:t xml:space="preserve">nnex section </w:t>
      </w:r>
      <w:r w:rsidR="005E5728">
        <w:rPr>
          <w:rFonts w:eastAsia="Arial"/>
          <w:lang w:eastAsia="zh-CN"/>
        </w:rPr>
        <w:t>5</w:t>
      </w:r>
      <w:r>
        <w:rPr>
          <w:rFonts w:eastAsia="Arial"/>
          <w:lang w:eastAsia="zh-CN"/>
        </w:rPr>
        <w:t>.</w:t>
      </w:r>
      <w:r w:rsidR="008A6391">
        <w:rPr>
          <w:rFonts w:eastAsia="Arial"/>
          <w:lang w:eastAsia="zh-CN"/>
        </w:rPr>
        <w:t>3</w:t>
      </w:r>
      <w:r>
        <w:rPr>
          <w:rFonts w:eastAsia="Arial"/>
          <w:lang w:eastAsia="zh-CN"/>
        </w:rPr>
        <w:t xml:space="preserve"> </w:t>
      </w:r>
      <w:r w:rsidR="009C0DE7">
        <w:rPr>
          <w:rFonts w:eastAsia="Arial"/>
          <w:lang w:eastAsia="zh-CN"/>
        </w:rPr>
        <w:t>and</w:t>
      </w:r>
      <w:r>
        <w:rPr>
          <w:rFonts w:eastAsia="Arial"/>
          <w:lang w:eastAsia="zh-CN"/>
        </w:rPr>
        <w:t xml:space="preserve"> the analysis of the </w:t>
      </w:r>
      <w:r w:rsidR="008A6391">
        <w:rPr>
          <w:rFonts w:eastAsia="Arial"/>
          <w:lang w:eastAsia="zh-CN"/>
        </w:rPr>
        <w:t>2Tx PC1.5</w:t>
      </w:r>
      <w:r w:rsidR="009C0DE7">
        <w:rPr>
          <w:rFonts w:eastAsia="Arial"/>
          <w:lang w:eastAsia="zh-CN"/>
        </w:rPr>
        <w:t xml:space="preserve"> is presented in Annex section </w:t>
      </w:r>
      <w:r w:rsidR="005E5728">
        <w:rPr>
          <w:rFonts w:eastAsia="Arial"/>
          <w:lang w:eastAsia="zh-CN"/>
        </w:rPr>
        <w:t>5</w:t>
      </w:r>
      <w:r w:rsidR="009C0DE7">
        <w:rPr>
          <w:rFonts w:eastAsia="Arial"/>
          <w:lang w:eastAsia="zh-CN"/>
        </w:rPr>
        <w:t>.</w:t>
      </w:r>
      <w:r w:rsidR="008A6391">
        <w:rPr>
          <w:rFonts w:eastAsia="Arial"/>
          <w:lang w:eastAsia="zh-CN"/>
        </w:rPr>
        <w:t>4</w:t>
      </w:r>
      <w:r w:rsidR="00F71C7A">
        <w:rPr>
          <w:rFonts w:eastAsia="Arial"/>
          <w:lang w:eastAsia="zh-CN"/>
        </w:rPr>
        <w:t>.</w:t>
      </w:r>
    </w:p>
    <w:p w14:paraId="0989829F" w14:textId="0BD26915" w:rsidR="008A6391" w:rsidRDefault="008A6391" w:rsidP="006A1C52">
      <w:pPr>
        <w:rPr>
          <w:rFonts w:eastAsia="Arial"/>
          <w:lang w:eastAsia="zh-CN"/>
        </w:rPr>
      </w:pPr>
      <w:r>
        <w:rPr>
          <w:rFonts w:eastAsia="Arial"/>
          <w:lang w:eastAsia="zh-CN"/>
        </w:rPr>
        <w:t xml:space="preserve">To facilitate the observations, </w:t>
      </w:r>
      <w:r w:rsidR="0014594C">
        <w:rPr>
          <w:rFonts w:eastAsia="Arial"/>
          <w:lang w:eastAsia="zh-CN"/>
        </w:rPr>
        <w:t>T</w:t>
      </w:r>
      <w:r>
        <w:rPr>
          <w:rFonts w:eastAsia="Arial"/>
          <w:lang w:eastAsia="zh-CN"/>
        </w:rPr>
        <w:t>able 1 below provides the worst</w:t>
      </w:r>
      <w:r w:rsidR="0014594C">
        <w:rPr>
          <w:rFonts w:eastAsia="Arial"/>
          <w:lang w:eastAsia="zh-CN"/>
        </w:rPr>
        <w:t>-</w:t>
      </w:r>
      <w:r>
        <w:rPr>
          <w:rFonts w:eastAsia="Arial"/>
          <w:lang w:eastAsia="zh-CN"/>
        </w:rPr>
        <w:t>case margin for all the measured extended cases.</w:t>
      </w:r>
    </w:p>
    <w:p w14:paraId="5B911821" w14:textId="60858BCA" w:rsidR="0014594C" w:rsidRDefault="0014594C" w:rsidP="0014594C">
      <w:pPr>
        <w:pStyle w:val="Caption"/>
        <w:keepNext/>
      </w:pPr>
      <w:r>
        <w:t xml:space="preserve">Table </w:t>
      </w:r>
      <w:r>
        <w:fldChar w:fldCharType="begin"/>
      </w:r>
      <w:r>
        <w:instrText xml:space="preserve"> SEQ Table \* ARABIC </w:instrText>
      </w:r>
      <w:r>
        <w:fldChar w:fldCharType="separate"/>
      </w:r>
      <w:r w:rsidR="00F14A7B">
        <w:rPr>
          <w:noProof/>
        </w:rPr>
        <w:t>1</w:t>
      </w:r>
      <w:r>
        <w:fldChar w:fldCharType="end"/>
      </w:r>
      <w:r>
        <w:t>: ACLR and SEM (low and high) margin for new inners based on RB/BW extension</w:t>
      </w:r>
    </w:p>
    <w:p w14:paraId="6372D189" w14:textId="3FEDC237" w:rsidR="008A6391" w:rsidRDefault="0014594C" w:rsidP="006A1C52">
      <w:pPr>
        <w:rPr>
          <w:rFonts w:eastAsia="Arial"/>
          <w:lang w:eastAsia="zh-CN"/>
        </w:rPr>
      </w:pPr>
      <w:r w:rsidRPr="0014594C">
        <w:rPr>
          <w:rFonts w:eastAsia="Arial"/>
          <w:noProof/>
        </w:rPr>
        <w:drawing>
          <wp:inline distT="0" distB="0" distL="0" distR="0" wp14:anchorId="1C217B3F" wp14:editId="3DD570B5">
            <wp:extent cx="6646545" cy="4534535"/>
            <wp:effectExtent l="0" t="0" r="1905" b="0"/>
            <wp:docPr id="17785880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646545" cy="4534535"/>
                    </a:xfrm>
                    <a:prstGeom prst="rect">
                      <a:avLst/>
                    </a:prstGeom>
                    <a:noFill/>
                    <a:ln>
                      <a:noFill/>
                    </a:ln>
                  </pic:spPr>
                </pic:pic>
              </a:graphicData>
            </a:graphic>
          </wp:inline>
        </w:drawing>
      </w:r>
    </w:p>
    <w:p w14:paraId="7C532A4F" w14:textId="0B4CAE36" w:rsidR="003772DA" w:rsidRPr="003772DA" w:rsidRDefault="003772DA" w:rsidP="003772DA">
      <w:pPr>
        <w:spacing w:after="0"/>
        <w:rPr>
          <w:rFonts w:eastAsia="Arial"/>
          <w:b/>
          <w:bCs/>
          <w:lang w:eastAsia="zh-CN"/>
        </w:rPr>
      </w:pPr>
      <w:r w:rsidRPr="003772DA">
        <w:rPr>
          <w:rFonts w:eastAsia="Arial"/>
          <w:b/>
          <w:bCs/>
          <w:lang w:eastAsia="zh-CN"/>
        </w:rPr>
        <w:lastRenderedPageBreak/>
        <w:t>Observations</w:t>
      </w:r>
      <w:r w:rsidR="0014594C">
        <w:rPr>
          <w:rFonts w:eastAsia="Arial"/>
          <w:b/>
          <w:bCs/>
          <w:lang w:eastAsia="zh-CN"/>
        </w:rPr>
        <w:t xml:space="preserve"> for PC2 2Tx and PC1.5 2Tx</w:t>
      </w:r>
      <w:r w:rsidRPr="003772DA">
        <w:rPr>
          <w:rFonts w:eastAsia="Arial"/>
          <w:b/>
          <w:bCs/>
          <w:lang w:eastAsia="zh-CN"/>
        </w:rPr>
        <w:t>:</w:t>
      </w:r>
    </w:p>
    <w:p w14:paraId="6FF9C034" w14:textId="15AC2940" w:rsidR="003772DA" w:rsidRDefault="0014594C" w:rsidP="003772DA">
      <w:pPr>
        <w:pStyle w:val="ListParagraph"/>
        <w:numPr>
          <w:ilvl w:val="0"/>
          <w:numId w:val="63"/>
        </w:numPr>
        <w:spacing w:after="0"/>
        <w:ind w:firstLineChars="0"/>
        <w:rPr>
          <w:rFonts w:eastAsia="Arial"/>
          <w:b/>
          <w:bCs/>
          <w:lang w:eastAsia="zh-CN"/>
        </w:rPr>
      </w:pPr>
      <w:r>
        <w:rPr>
          <w:rFonts w:eastAsia="Arial"/>
          <w:b/>
          <w:bCs/>
          <w:lang w:eastAsia="zh-CN"/>
        </w:rPr>
        <w:t>The margin is positive for all cases showing the RB/BW extension framework works for PC2 2Tx and PC1.5 2Tx as it was already shown in [1] for Pc3 1tx and PC2 1Tx.</w:t>
      </w:r>
    </w:p>
    <w:p w14:paraId="796F048E" w14:textId="249E073F" w:rsidR="0014594C" w:rsidRDefault="0014594C" w:rsidP="003772DA">
      <w:pPr>
        <w:pStyle w:val="ListParagraph"/>
        <w:numPr>
          <w:ilvl w:val="0"/>
          <w:numId w:val="63"/>
        </w:numPr>
        <w:spacing w:after="0"/>
        <w:ind w:firstLineChars="0"/>
        <w:rPr>
          <w:rFonts w:eastAsia="Arial"/>
          <w:b/>
          <w:bCs/>
          <w:lang w:eastAsia="zh-CN"/>
        </w:rPr>
      </w:pPr>
      <w:r>
        <w:rPr>
          <w:rFonts w:eastAsia="Arial"/>
          <w:b/>
          <w:bCs/>
          <w:lang w:eastAsia="zh-CN"/>
        </w:rPr>
        <w:t>In general, the margin is higher for:</w:t>
      </w:r>
    </w:p>
    <w:p w14:paraId="2ABCB5FA" w14:textId="7132C0D4" w:rsidR="0014594C" w:rsidRDefault="0014594C" w:rsidP="0014594C">
      <w:pPr>
        <w:pStyle w:val="ListParagraph"/>
        <w:numPr>
          <w:ilvl w:val="1"/>
          <w:numId w:val="63"/>
        </w:numPr>
        <w:spacing w:after="0"/>
        <w:ind w:firstLineChars="0"/>
        <w:rPr>
          <w:rFonts w:eastAsia="Arial"/>
          <w:b/>
          <w:bCs/>
          <w:lang w:eastAsia="zh-CN"/>
        </w:rPr>
      </w:pPr>
      <w:r>
        <w:rPr>
          <w:rFonts w:eastAsia="Arial"/>
          <w:b/>
          <w:bCs/>
          <w:lang w:eastAsia="zh-CN"/>
        </w:rPr>
        <w:t>½ extension versus ¼ extension</w:t>
      </w:r>
    </w:p>
    <w:p w14:paraId="339ABBDB" w14:textId="28CBAACE" w:rsidR="0014594C" w:rsidRDefault="0014594C" w:rsidP="0014594C">
      <w:pPr>
        <w:pStyle w:val="ListParagraph"/>
        <w:numPr>
          <w:ilvl w:val="1"/>
          <w:numId w:val="63"/>
        </w:numPr>
        <w:spacing w:after="0"/>
        <w:ind w:firstLineChars="0"/>
        <w:rPr>
          <w:rFonts w:eastAsia="Arial"/>
          <w:b/>
          <w:bCs/>
          <w:lang w:eastAsia="zh-CN"/>
        </w:rPr>
      </w:pPr>
      <w:r>
        <w:rPr>
          <w:rFonts w:eastAsia="Arial"/>
          <w:b/>
          <w:bCs/>
          <w:lang w:eastAsia="zh-CN"/>
        </w:rPr>
        <w:t>Smaller CBW</w:t>
      </w:r>
    </w:p>
    <w:p w14:paraId="735BEE23" w14:textId="049622ED" w:rsidR="0014594C" w:rsidRDefault="0014594C" w:rsidP="0014594C">
      <w:pPr>
        <w:pStyle w:val="ListParagraph"/>
        <w:numPr>
          <w:ilvl w:val="1"/>
          <w:numId w:val="63"/>
        </w:numPr>
        <w:spacing w:after="0"/>
        <w:ind w:firstLineChars="0"/>
        <w:rPr>
          <w:rFonts w:eastAsia="Arial"/>
          <w:b/>
          <w:bCs/>
          <w:lang w:eastAsia="zh-CN"/>
        </w:rPr>
      </w:pPr>
      <w:r>
        <w:rPr>
          <w:rFonts w:eastAsia="Arial"/>
          <w:b/>
          <w:bCs/>
          <w:lang w:eastAsia="zh-CN"/>
        </w:rPr>
        <w:t xml:space="preserve">Lower power class (it is partly </w:t>
      </w:r>
      <w:proofErr w:type="gramStart"/>
      <w:r>
        <w:rPr>
          <w:rFonts w:eastAsia="Arial"/>
          <w:b/>
          <w:bCs/>
          <w:lang w:eastAsia="zh-CN"/>
        </w:rPr>
        <w:t>due to the fact that</w:t>
      </w:r>
      <w:proofErr w:type="gramEnd"/>
      <w:r>
        <w:rPr>
          <w:rFonts w:eastAsia="Arial"/>
          <w:b/>
          <w:bCs/>
          <w:lang w:eastAsia="zh-CN"/>
        </w:rPr>
        <w:t xml:space="preserve"> the difference between outer and inner MPR </w:t>
      </w:r>
      <w:r w:rsidR="00DA4ADB">
        <w:rPr>
          <w:rFonts w:eastAsia="Arial"/>
          <w:b/>
          <w:bCs/>
          <w:lang w:eastAsia="zh-CN"/>
        </w:rPr>
        <w:t xml:space="preserve">difference </w:t>
      </w:r>
      <w:r>
        <w:rPr>
          <w:rFonts w:eastAsia="Arial"/>
          <w:b/>
          <w:bCs/>
          <w:lang w:eastAsia="zh-CN"/>
        </w:rPr>
        <w:t>gets larger for higher power class and 2Tx versus 1Tx</w:t>
      </w:r>
      <w:r w:rsidR="00DA4ADB">
        <w:rPr>
          <w:rFonts w:eastAsia="Arial"/>
          <w:b/>
          <w:bCs/>
          <w:lang w:eastAsia="zh-CN"/>
        </w:rPr>
        <w:t>)</w:t>
      </w:r>
      <w:r>
        <w:rPr>
          <w:rFonts w:eastAsia="Arial"/>
          <w:b/>
          <w:bCs/>
          <w:lang w:eastAsia="zh-CN"/>
        </w:rPr>
        <w:t>.</w:t>
      </w:r>
    </w:p>
    <w:p w14:paraId="2CBBF4B5" w14:textId="001C96C5" w:rsidR="0014594C" w:rsidRDefault="0014594C" w:rsidP="0014594C">
      <w:pPr>
        <w:pStyle w:val="ListParagraph"/>
        <w:numPr>
          <w:ilvl w:val="0"/>
          <w:numId w:val="63"/>
        </w:numPr>
        <w:spacing w:after="0"/>
        <w:ind w:firstLineChars="0"/>
        <w:rPr>
          <w:rFonts w:eastAsia="Arial"/>
          <w:b/>
          <w:bCs/>
          <w:lang w:eastAsia="zh-CN"/>
        </w:rPr>
      </w:pPr>
      <w:r>
        <w:rPr>
          <w:rFonts w:eastAsia="Arial"/>
          <w:b/>
          <w:bCs/>
          <w:lang w:eastAsia="zh-CN"/>
        </w:rPr>
        <w:t>The tighter case is for the ¼, ¼ case</w:t>
      </w:r>
      <w:r w:rsidR="00434398">
        <w:rPr>
          <w:rFonts w:eastAsia="Arial"/>
          <w:b/>
          <w:bCs/>
          <w:lang w:eastAsia="zh-CN"/>
        </w:rPr>
        <w:t>.</w:t>
      </w:r>
    </w:p>
    <w:p w14:paraId="51F6202A" w14:textId="77777777" w:rsidR="0014594C" w:rsidRDefault="0014594C" w:rsidP="0014594C">
      <w:pPr>
        <w:spacing w:after="0"/>
        <w:rPr>
          <w:rFonts w:eastAsia="Arial"/>
          <w:b/>
          <w:bCs/>
          <w:lang w:eastAsia="zh-CN"/>
        </w:rPr>
      </w:pPr>
    </w:p>
    <w:p w14:paraId="0B216AD0" w14:textId="52E286C6" w:rsidR="009C0DE7" w:rsidRDefault="00DA4ADB" w:rsidP="009C0DE7">
      <w:pPr>
        <w:spacing w:after="0"/>
        <w:rPr>
          <w:rFonts w:eastAsia="Arial"/>
          <w:b/>
          <w:bCs/>
          <w:lang w:eastAsia="zh-CN"/>
        </w:rPr>
      </w:pPr>
      <w:r>
        <w:rPr>
          <w:rFonts w:eastAsia="Arial"/>
          <w:b/>
          <w:bCs/>
          <w:lang w:eastAsia="zh-CN"/>
        </w:rPr>
        <w:t>Proposal</w:t>
      </w:r>
      <w:r w:rsidR="00FC4D60">
        <w:rPr>
          <w:rFonts w:eastAsia="Arial"/>
          <w:b/>
          <w:bCs/>
          <w:lang w:eastAsia="zh-CN"/>
        </w:rPr>
        <w:t xml:space="preserve"> on modification to enable PC2 and PC1.5 2Tx</w:t>
      </w:r>
      <w:r w:rsidR="009C0DE7">
        <w:rPr>
          <w:rFonts w:eastAsia="Arial"/>
          <w:b/>
          <w:bCs/>
          <w:lang w:eastAsia="zh-CN"/>
        </w:rPr>
        <w:t xml:space="preserve">: </w:t>
      </w:r>
    </w:p>
    <w:p w14:paraId="756BA326" w14:textId="77777777" w:rsidR="00DA4ADB" w:rsidRDefault="00DA4ADB" w:rsidP="009C0DE7">
      <w:pPr>
        <w:pStyle w:val="ListParagraph"/>
        <w:numPr>
          <w:ilvl w:val="0"/>
          <w:numId w:val="65"/>
        </w:numPr>
        <w:spacing w:after="0"/>
        <w:ind w:firstLineChars="0"/>
        <w:rPr>
          <w:rFonts w:eastAsia="Arial"/>
          <w:b/>
          <w:bCs/>
          <w:lang w:eastAsia="zh-CN"/>
        </w:rPr>
      </w:pPr>
      <w:r>
        <w:rPr>
          <w:rFonts w:eastAsia="Arial"/>
          <w:b/>
          <w:bCs/>
          <w:lang w:eastAsia="zh-CN"/>
        </w:rPr>
        <w:t xml:space="preserve">RB/BW extension framework should be enabled for PC2 2Tx and </w:t>
      </w:r>
      <w:r w:rsidR="009C0DE7" w:rsidRPr="009C0DE7">
        <w:rPr>
          <w:rFonts w:eastAsia="Arial"/>
          <w:b/>
          <w:bCs/>
          <w:lang w:eastAsia="zh-CN"/>
        </w:rPr>
        <w:t xml:space="preserve">PC1.5 </w:t>
      </w:r>
      <w:r w:rsidR="009C0DE7">
        <w:rPr>
          <w:rFonts w:eastAsia="Arial"/>
          <w:b/>
          <w:bCs/>
          <w:lang w:eastAsia="zh-CN"/>
        </w:rPr>
        <w:t>2Tx</w:t>
      </w:r>
      <w:r>
        <w:rPr>
          <w:rFonts w:eastAsia="Arial"/>
          <w:b/>
          <w:bCs/>
          <w:lang w:eastAsia="zh-CN"/>
        </w:rPr>
        <w:t>:</w:t>
      </w:r>
    </w:p>
    <w:p w14:paraId="6FAEEBFA" w14:textId="63D0A642" w:rsidR="009C0DE7" w:rsidRDefault="00DA4ADB" w:rsidP="00DA4ADB">
      <w:pPr>
        <w:pStyle w:val="ListParagraph"/>
        <w:numPr>
          <w:ilvl w:val="1"/>
          <w:numId w:val="65"/>
        </w:numPr>
        <w:spacing w:after="0"/>
        <w:ind w:firstLineChars="0"/>
        <w:rPr>
          <w:rFonts w:eastAsia="Arial"/>
          <w:b/>
          <w:bCs/>
          <w:lang w:eastAsia="zh-CN"/>
        </w:rPr>
      </w:pPr>
      <w:r>
        <w:rPr>
          <w:rFonts w:eastAsia="Arial"/>
          <w:b/>
          <w:bCs/>
          <w:lang w:eastAsia="zh-CN"/>
        </w:rPr>
        <w:t>PC3 and PC2 restriction</w:t>
      </w:r>
      <w:r w:rsidR="00020E97">
        <w:rPr>
          <w:rFonts w:eastAsia="Arial"/>
          <w:b/>
          <w:bCs/>
          <w:lang w:eastAsia="zh-CN"/>
        </w:rPr>
        <w:t xml:space="preserve"> highlighted in yellow below </w:t>
      </w:r>
      <w:r>
        <w:rPr>
          <w:rFonts w:eastAsia="Arial"/>
          <w:b/>
          <w:bCs/>
          <w:lang w:eastAsia="zh-CN"/>
        </w:rPr>
        <w:t xml:space="preserve">in following 38.101-1 clause </w:t>
      </w:r>
      <w:r w:rsidR="00020E97">
        <w:rPr>
          <w:rFonts w:eastAsia="Arial"/>
          <w:b/>
          <w:bCs/>
          <w:lang w:eastAsia="zh-CN"/>
        </w:rPr>
        <w:t xml:space="preserve">6.2.2 is modified to include PC1.5 and 1Tx/2Tx as highlighted in </w:t>
      </w:r>
      <w:r w:rsidR="00020E97" w:rsidRPr="00020E97">
        <w:rPr>
          <w:rFonts w:eastAsia="Arial"/>
          <w:b/>
          <w:bCs/>
          <w:highlight w:val="yellow"/>
          <w:lang w:eastAsia="zh-CN"/>
        </w:rPr>
        <w:t>yellow</w:t>
      </w:r>
      <w:r w:rsidR="00020E97">
        <w:rPr>
          <w:rFonts w:eastAsia="Arial"/>
          <w:b/>
          <w:bCs/>
          <w:lang w:eastAsia="zh-CN"/>
        </w:rPr>
        <w:t xml:space="preserve"> below</w:t>
      </w:r>
      <w:r w:rsidR="00434398">
        <w:rPr>
          <w:rFonts w:eastAsia="Arial"/>
          <w:b/>
          <w:bCs/>
          <w:lang w:eastAsia="zh-CN"/>
        </w:rPr>
        <w:t>:</w:t>
      </w:r>
      <w:r w:rsidR="00020E97">
        <w:rPr>
          <w:rFonts w:eastAsia="Arial"/>
          <w:b/>
          <w:bCs/>
          <w:lang w:eastAsia="zh-CN"/>
        </w:rPr>
        <w:t xml:space="preserve"> </w:t>
      </w:r>
    </w:p>
    <w:p w14:paraId="018ACC74" w14:textId="77777777" w:rsidR="00020E97" w:rsidRDefault="00020E97" w:rsidP="00020E97">
      <w:pPr>
        <w:ind w:left="450"/>
      </w:pPr>
      <w:r>
        <w:t xml:space="preserve">If </w:t>
      </w:r>
      <w:proofErr w:type="gramStart"/>
      <w:r>
        <w:t>all of</w:t>
      </w:r>
      <w:proofErr w:type="gramEnd"/>
      <w:r>
        <w:t xml:space="preserve"> the following conditions are simultaneously met:</w:t>
      </w:r>
    </w:p>
    <w:p w14:paraId="44D23CC8" w14:textId="4F45FDA2" w:rsidR="00020E97" w:rsidRDefault="00020E97" w:rsidP="00020E97">
      <w:pPr>
        <w:ind w:left="450"/>
      </w:pPr>
      <w:r>
        <w:t>-</w:t>
      </w:r>
      <w:r>
        <w:tab/>
        <w:t xml:space="preserve">The UE is </w:t>
      </w:r>
      <w:r w:rsidRPr="00020E97">
        <w:t xml:space="preserve">a </w:t>
      </w:r>
      <w:r w:rsidRPr="00020E97">
        <w:rPr>
          <w:strike/>
          <w:highlight w:val="yellow"/>
        </w:rPr>
        <w:t>PC3 or PC2</w:t>
      </w:r>
      <w:r w:rsidRPr="00020E97">
        <w:t xml:space="preserve"> </w:t>
      </w:r>
      <w:r w:rsidRPr="00020E97">
        <w:rPr>
          <w:highlight w:val="yellow"/>
        </w:rPr>
        <w:t>PC3, PC2 or PC1.5</w:t>
      </w:r>
      <w:r>
        <w:t xml:space="preserve"> </w:t>
      </w:r>
      <w:r w:rsidRPr="00020E97">
        <w:t>UE</w:t>
      </w:r>
      <w:r>
        <w:t xml:space="preserve"> </w:t>
      </w:r>
      <w:r w:rsidRPr="00020E97">
        <w:rPr>
          <w:highlight w:val="yellow"/>
        </w:rPr>
        <w:t>supporting 1Tx or 2Tx</w:t>
      </w:r>
      <w:r>
        <w:t xml:space="preserve"> operating in any channel bandwidth except 3MHz </w:t>
      </w:r>
    </w:p>
    <w:p w14:paraId="507298CD" w14:textId="77777777" w:rsidR="00020E97" w:rsidRDefault="00020E97" w:rsidP="00020E97">
      <w:pPr>
        <w:ind w:left="450"/>
      </w:pPr>
      <w:r>
        <w:t>-</w:t>
      </w:r>
      <w:r>
        <w:tab/>
        <w:t xml:space="preserve">The UE indicates support for </w:t>
      </w:r>
      <w:r w:rsidRPr="00020E97">
        <w:rPr>
          <w:i/>
        </w:rPr>
        <w:t>MPR reduction for single carrier with single value</w:t>
      </w:r>
      <w:r w:rsidRPr="00020E97">
        <w:rPr>
          <w:iCs/>
        </w:rPr>
        <w:t xml:space="preserve"> </w:t>
      </w:r>
      <w:r>
        <w:t xml:space="preserve">or </w:t>
      </w:r>
      <w:r w:rsidRPr="00020E97">
        <w:rPr>
          <w:i/>
        </w:rPr>
        <w:t>MPR reduction for single carrier with multiple values</w:t>
      </w:r>
      <w:r>
        <w:t xml:space="preserve">, and is configured with the IE </w:t>
      </w:r>
      <w:r w:rsidRPr="00020E97">
        <w:rPr>
          <w:i/>
        </w:rPr>
        <w:t>Extension UE-Rel19</w:t>
      </w:r>
    </w:p>
    <w:p w14:paraId="575CD51A" w14:textId="77777777" w:rsidR="00020E97" w:rsidRDefault="00020E97" w:rsidP="00020E97">
      <w:pPr>
        <w:ind w:left="450"/>
      </w:pPr>
      <w:r>
        <w:t>-</w:t>
      </w:r>
      <w:r>
        <w:tab/>
        <w:t xml:space="preserve">The uplink modulation order is either QPSK or 16QAM </w:t>
      </w:r>
    </w:p>
    <w:p w14:paraId="1F681E1D" w14:textId="77777777" w:rsidR="00020E97" w:rsidRDefault="00020E97" w:rsidP="00020E97">
      <w:pPr>
        <w:ind w:left="450"/>
      </w:pPr>
      <w:r>
        <w:t>-</w:t>
      </w:r>
      <w:r>
        <w:tab/>
        <w:t>When no A-MPR is applicable</w:t>
      </w:r>
    </w:p>
    <w:p w14:paraId="2F0BC178" w14:textId="64B02A7A" w:rsidR="00020E97" w:rsidRDefault="00020E97" w:rsidP="00020E97">
      <w:pPr>
        <w:pStyle w:val="ListParagraph"/>
        <w:numPr>
          <w:ilvl w:val="1"/>
          <w:numId w:val="65"/>
        </w:numPr>
        <w:spacing w:after="0"/>
        <w:ind w:firstLineChars="0"/>
        <w:rPr>
          <w:rFonts w:eastAsia="Arial"/>
          <w:b/>
          <w:bCs/>
          <w:lang w:eastAsia="zh-CN"/>
        </w:rPr>
      </w:pPr>
      <w:r>
        <w:rPr>
          <w:rFonts w:eastAsia="Arial"/>
          <w:b/>
          <w:bCs/>
          <w:lang w:eastAsia="zh-CN"/>
        </w:rPr>
        <w:t xml:space="preserve">38.101-1 clause 6.2D.2 text below </w:t>
      </w:r>
      <w:r w:rsidRPr="00020E97">
        <w:rPr>
          <w:rFonts w:eastAsia="Arial"/>
          <w:b/>
          <w:bCs/>
          <w:lang w:eastAsia="zh-CN"/>
        </w:rPr>
        <w:t>Table 6.2D.2-5</w:t>
      </w:r>
      <w:r>
        <w:rPr>
          <w:rFonts w:eastAsia="Arial"/>
          <w:b/>
          <w:bCs/>
          <w:lang w:eastAsia="zh-CN"/>
        </w:rPr>
        <w:t xml:space="preserve"> is modified </w:t>
      </w:r>
      <w:r w:rsidR="00FC4D60">
        <w:rPr>
          <w:rFonts w:eastAsia="Arial"/>
          <w:b/>
          <w:bCs/>
          <w:lang w:eastAsia="zh-CN"/>
        </w:rPr>
        <w:t xml:space="preserve">for </w:t>
      </w:r>
      <w:r>
        <w:rPr>
          <w:rFonts w:eastAsia="Arial"/>
          <w:b/>
          <w:bCs/>
          <w:lang w:eastAsia="zh-CN"/>
        </w:rPr>
        <w:t xml:space="preserve">PC1.5 edge allocation as highlighted in </w:t>
      </w:r>
      <w:r w:rsidRPr="00020E97">
        <w:rPr>
          <w:rFonts w:eastAsia="Arial"/>
          <w:b/>
          <w:bCs/>
          <w:highlight w:val="yellow"/>
          <w:lang w:eastAsia="zh-CN"/>
        </w:rPr>
        <w:t>yellow</w:t>
      </w:r>
      <w:r>
        <w:rPr>
          <w:rFonts w:eastAsia="Arial"/>
          <w:b/>
          <w:bCs/>
          <w:lang w:eastAsia="zh-CN"/>
        </w:rPr>
        <w:t xml:space="preserve"> below.</w:t>
      </w:r>
    </w:p>
    <w:p w14:paraId="71DDB270" w14:textId="2EA49B25" w:rsidR="00020E97" w:rsidRDefault="00020E97" w:rsidP="00020E97">
      <w:r w:rsidRPr="001D0283">
        <w:t>Inner, outer and edge allocations are as defined in section 6.2.2 except for PC1.5 edge allocations which is for L</w:t>
      </w:r>
      <w:r w:rsidRPr="00020E97">
        <w:rPr>
          <w:vertAlign w:val="subscript"/>
        </w:rPr>
        <w:t>CRB</w:t>
      </w:r>
      <w:r w:rsidRPr="001D0283">
        <w:t xml:space="preserve"> ≤ 4 RBs instead of L</w:t>
      </w:r>
      <w:r w:rsidRPr="00020E97">
        <w:rPr>
          <w:vertAlign w:val="subscript"/>
        </w:rPr>
        <w:t>CRB</w:t>
      </w:r>
      <w:r w:rsidRPr="001D0283">
        <w:t xml:space="preserve"> ≤ 2 RBs for other power classes.</w:t>
      </w:r>
    </w:p>
    <w:p w14:paraId="220A1F2C" w14:textId="02DC6060" w:rsidR="00685C2D" w:rsidRDefault="00020E97" w:rsidP="00685C2D">
      <w:r w:rsidRPr="00020E97">
        <w:rPr>
          <w:highlight w:val="yellow"/>
        </w:rPr>
        <w:t xml:space="preserve">When a UE indicates support for </w:t>
      </w:r>
      <w:r w:rsidRPr="00020E97">
        <w:rPr>
          <w:i/>
          <w:highlight w:val="yellow"/>
        </w:rPr>
        <w:t>MPR reduction for single carrier with single value</w:t>
      </w:r>
      <w:r w:rsidRPr="00020E97">
        <w:rPr>
          <w:iCs/>
          <w:highlight w:val="yellow"/>
        </w:rPr>
        <w:t xml:space="preserve"> </w:t>
      </w:r>
      <w:r w:rsidRPr="00020E97">
        <w:rPr>
          <w:highlight w:val="yellow"/>
        </w:rPr>
        <w:t xml:space="preserve">or </w:t>
      </w:r>
      <w:r w:rsidRPr="00020E97">
        <w:rPr>
          <w:i/>
          <w:highlight w:val="yellow"/>
        </w:rPr>
        <w:t>MPR reduction for single carrier with multiple values</w:t>
      </w:r>
      <w:r w:rsidRPr="00020E97">
        <w:rPr>
          <w:highlight w:val="yellow"/>
        </w:rPr>
        <w:t xml:space="preserve">, and is configured with the IE </w:t>
      </w:r>
      <w:r w:rsidRPr="00020E97">
        <w:rPr>
          <w:i/>
          <w:highlight w:val="yellow"/>
        </w:rPr>
        <w:t xml:space="preserve">Extension UE-Rel19, </w:t>
      </w:r>
      <w:r w:rsidRPr="00020E97">
        <w:rPr>
          <w:highlight w:val="yellow"/>
        </w:rPr>
        <w:t>an Edge RB allocation is the one for which the RB(s) is (are) allocated at the lowermost edge of the channel L</w:t>
      </w:r>
      <w:r w:rsidRPr="00020E97">
        <w:rPr>
          <w:highlight w:val="yellow"/>
          <w:vertAlign w:val="subscript"/>
        </w:rPr>
        <w:t>CRB</w:t>
      </w:r>
      <w:r w:rsidRPr="00020E97">
        <w:rPr>
          <w:highlight w:val="yellow"/>
        </w:rPr>
        <w:t xml:space="preserve"> ≤ 4 RBs with </w:t>
      </w:r>
      <w:r w:rsidRPr="00020E97">
        <w:rPr>
          <w:highlight w:val="yellow"/>
          <w:lang w:val="en-US" w:eastAsia="zh-CN"/>
        </w:rPr>
        <w:t>R</w:t>
      </w:r>
      <w:proofErr w:type="spellStart"/>
      <w:r w:rsidRPr="00020E97">
        <w:rPr>
          <w:highlight w:val="yellow"/>
          <w:vertAlign w:val="subscript"/>
          <w:lang w:eastAsia="zh-CN"/>
        </w:rPr>
        <w:t>ext_low</w:t>
      </w:r>
      <w:proofErr w:type="spellEnd"/>
      <w:r w:rsidRPr="00020E97">
        <w:rPr>
          <w:highlight w:val="yellow"/>
        </w:rPr>
        <w:t xml:space="preserve"> = 0, or </w:t>
      </w:r>
      <w:r w:rsidRPr="00020E97">
        <w:rPr>
          <w:highlight w:val="yellow"/>
          <w:lang w:eastAsia="zh-CN"/>
        </w:rPr>
        <w:t xml:space="preserve">the </w:t>
      </w:r>
      <w:r w:rsidRPr="00020E97">
        <w:rPr>
          <w:highlight w:val="yellow"/>
        </w:rPr>
        <w:t>one for which the RB</w:t>
      </w:r>
      <w:r w:rsidRPr="00020E97">
        <w:rPr>
          <w:highlight w:val="yellow"/>
          <w:lang w:eastAsia="zh-CN"/>
        </w:rPr>
        <w:t>(</w:t>
      </w:r>
      <w:r w:rsidRPr="00020E97">
        <w:rPr>
          <w:highlight w:val="yellow"/>
        </w:rPr>
        <w:t>s</w:t>
      </w:r>
      <w:r w:rsidRPr="00020E97">
        <w:rPr>
          <w:highlight w:val="yellow"/>
          <w:lang w:eastAsia="zh-CN"/>
        </w:rPr>
        <w:t>)</w:t>
      </w:r>
      <w:r w:rsidRPr="00020E97">
        <w:rPr>
          <w:highlight w:val="yellow"/>
        </w:rPr>
        <w:t xml:space="preserve"> </w:t>
      </w:r>
      <w:r w:rsidRPr="00020E97">
        <w:rPr>
          <w:highlight w:val="yellow"/>
          <w:lang w:eastAsia="zh-CN"/>
        </w:rPr>
        <w:t>is (</w:t>
      </w:r>
      <w:r w:rsidRPr="00020E97">
        <w:rPr>
          <w:highlight w:val="yellow"/>
        </w:rPr>
        <w:t>are</w:t>
      </w:r>
      <w:r w:rsidRPr="00020E97">
        <w:rPr>
          <w:highlight w:val="yellow"/>
          <w:lang w:eastAsia="zh-CN"/>
        </w:rPr>
        <w:t>)</w:t>
      </w:r>
      <w:r w:rsidRPr="00020E97">
        <w:rPr>
          <w:highlight w:val="yellow"/>
        </w:rPr>
        <w:t xml:space="preserve"> allocated at the uppermost edge of the channel L</w:t>
      </w:r>
      <w:r w:rsidRPr="00020E97">
        <w:rPr>
          <w:highlight w:val="yellow"/>
          <w:vertAlign w:val="subscript"/>
        </w:rPr>
        <w:t>CRB</w:t>
      </w:r>
      <w:r w:rsidRPr="00020E97">
        <w:rPr>
          <w:highlight w:val="yellow"/>
        </w:rPr>
        <w:t xml:space="preserve"> ≤ 4 RBs with </w:t>
      </w:r>
      <w:r w:rsidRPr="00020E97">
        <w:rPr>
          <w:highlight w:val="yellow"/>
          <w:lang w:val="en-US" w:eastAsia="zh-CN"/>
        </w:rPr>
        <w:t>R</w:t>
      </w:r>
      <w:proofErr w:type="spellStart"/>
      <w:r w:rsidRPr="00020E97">
        <w:rPr>
          <w:highlight w:val="yellow"/>
          <w:vertAlign w:val="subscript"/>
          <w:lang w:eastAsia="zh-CN"/>
        </w:rPr>
        <w:t>ext_high</w:t>
      </w:r>
      <w:proofErr w:type="spellEnd"/>
      <w:r w:rsidRPr="00020E97">
        <w:rPr>
          <w:highlight w:val="yellow"/>
          <w:vertAlign w:val="subscript"/>
        </w:rPr>
        <w:t xml:space="preserve"> </w:t>
      </w:r>
      <w:r w:rsidRPr="00020E97">
        <w:rPr>
          <w:highlight w:val="yellow"/>
        </w:rPr>
        <w:t>= 0.</w:t>
      </w:r>
    </w:p>
    <w:p w14:paraId="795AA28A" w14:textId="77777777" w:rsidR="00685C2D" w:rsidRDefault="00685C2D" w:rsidP="00685C2D">
      <w:pPr>
        <w:pStyle w:val="Heading2"/>
        <w:rPr>
          <w:rFonts w:eastAsia="Arial"/>
          <w:lang w:eastAsia="zh-CN"/>
        </w:rPr>
      </w:pPr>
      <w:r>
        <w:rPr>
          <w:rFonts w:eastAsia="Arial"/>
          <w:lang w:eastAsia="zh-CN"/>
        </w:rPr>
        <w:t>2.1 Verification of extension ratio principles for 2Tx PC2 and 2Tx PC1.5.</w:t>
      </w:r>
    </w:p>
    <w:p w14:paraId="55BEBE6C" w14:textId="251A73E2" w:rsidR="00685C2D" w:rsidRDefault="00685C2D" w:rsidP="00685C2D">
      <w:pPr>
        <w:spacing w:after="0"/>
        <w:rPr>
          <w:rFonts w:eastAsia="Arial"/>
          <w:lang w:eastAsia="zh-CN"/>
        </w:rPr>
      </w:pPr>
      <w:r>
        <w:rPr>
          <w:rFonts w:eastAsia="Arial"/>
          <w:lang w:eastAsia="zh-CN"/>
        </w:rPr>
        <w:t>To verify the proposed extension</w:t>
      </w:r>
    </w:p>
    <w:p w14:paraId="2BF25274" w14:textId="77777777" w:rsidR="00685C2D" w:rsidRDefault="00685C2D" w:rsidP="00685C2D">
      <w:pPr>
        <w:spacing w:after="0"/>
        <w:rPr>
          <w:rFonts w:eastAsia="Arial"/>
          <w:lang w:eastAsia="zh-CN"/>
        </w:rPr>
      </w:pPr>
    </w:p>
    <w:p w14:paraId="0BF04A6E" w14:textId="33FE0591" w:rsidR="00685C2D" w:rsidRPr="005C59C5" w:rsidRDefault="00D8073E" w:rsidP="00685C2D">
      <w:pPr>
        <w:spacing w:after="0"/>
        <w:rPr>
          <w:rFonts w:eastAsia="Arial"/>
          <w:lang w:eastAsia="zh-CN"/>
        </w:rPr>
      </w:pPr>
      <w:r w:rsidRPr="00D8073E">
        <w:rPr>
          <w:rFonts w:eastAsia="Arial"/>
          <w:lang w:eastAsia="zh-CN"/>
        </w:rPr>
        <w:t xml:space="preserve">To evaluate the possibility too boost the “new inner” according to the R18 feature, as we did not have time to measure the boosted the power level, we can look at the margins to the </w:t>
      </w:r>
      <w:r w:rsidR="004D309E">
        <w:rPr>
          <w:rFonts w:eastAsia="Arial"/>
          <w:lang w:eastAsia="zh-CN"/>
        </w:rPr>
        <w:t xml:space="preserve">QPSK DFT-s-OFDM 1Tx PC3, 1Tx PC2 and 2Tx PC2 </w:t>
      </w:r>
      <w:r w:rsidRPr="00D8073E">
        <w:rPr>
          <w:rFonts w:eastAsia="Arial"/>
          <w:lang w:eastAsia="zh-CN"/>
        </w:rPr>
        <w:t>OOB emissions in Table 1 and apply the following criteria</w:t>
      </w:r>
      <w:r w:rsidR="00685C2D" w:rsidRPr="005C59C5">
        <w:rPr>
          <w:rFonts w:eastAsia="Arial"/>
          <w:lang w:eastAsia="zh-CN"/>
        </w:rPr>
        <w:t>:</w:t>
      </w:r>
    </w:p>
    <w:p w14:paraId="1C640AFF" w14:textId="7C440B0B" w:rsidR="00685C2D" w:rsidRPr="005C59C5" w:rsidRDefault="00685C2D" w:rsidP="00685C2D">
      <w:pPr>
        <w:pStyle w:val="ListParagraph"/>
        <w:numPr>
          <w:ilvl w:val="0"/>
          <w:numId w:val="67"/>
        </w:numPr>
        <w:spacing w:after="0"/>
        <w:ind w:firstLineChars="0"/>
        <w:rPr>
          <w:rFonts w:eastAsia="Arial"/>
          <w:lang w:eastAsia="zh-CN"/>
        </w:rPr>
      </w:pPr>
      <w:r w:rsidRPr="005C59C5">
        <w:rPr>
          <w:rFonts w:eastAsia="Arial"/>
          <w:lang w:eastAsia="zh-CN"/>
        </w:rPr>
        <w:t xml:space="preserve">It is safe to consider that cases that &gt;3dB margin can be boosted by 1dB </w:t>
      </w:r>
      <w:r w:rsidR="004D309E">
        <w:rPr>
          <w:rFonts w:eastAsia="Arial"/>
          <w:lang w:eastAsia="zh-CN"/>
        </w:rPr>
        <w:t xml:space="preserve">(PC3) </w:t>
      </w:r>
      <w:r w:rsidRPr="005C59C5">
        <w:rPr>
          <w:rFonts w:eastAsia="Arial"/>
          <w:lang w:eastAsia="zh-CN"/>
        </w:rPr>
        <w:t>and &gt;2dB margin by 0.5dB</w:t>
      </w:r>
      <w:r w:rsidR="004D309E">
        <w:rPr>
          <w:rFonts w:eastAsia="Arial"/>
          <w:lang w:eastAsia="zh-CN"/>
        </w:rPr>
        <w:t xml:space="preserve"> (PC2)</w:t>
      </w:r>
    </w:p>
    <w:p w14:paraId="4506927B" w14:textId="77777777" w:rsidR="00685C2D" w:rsidRPr="005C59C5" w:rsidRDefault="00685C2D" w:rsidP="00685C2D">
      <w:pPr>
        <w:pStyle w:val="ListParagraph"/>
        <w:numPr>
          <w:ilvl w:val="0"/>
          <w:numId w:val="67"/>
        </w:numPr>
        <w:spacing w:after="0"/>
        <w:ind w:firstLineChars="0"/>
        <w:rPr>
          <w:rFonts w:eastAsia="Arial"/>
          <w:lang w:eastAsia="zh-CN"/>
        </w:rPr>
      </w:pPr>
      <w:r w:rsidRPr="005C59C5">
        <w:rPr>
          <w:rFonts w:eastAsia="Arial"/>
          <w:lang w:eastAsia="zh-CN"/>
        </w:rPr>
        <w:t>It should be feasible to boost the PC3 cases that have 2dB to 3dB margin by 1 dB</w:t>
      </w:r>
    </w:p>
    <w:p w14:paraId="282E5B37" w14:textId="77777777" w:rsidR="00685C2D" w:rsidRDefault="00685C2D" w:rsidP="00685C2D">
      <w:pPr>
        <w:pStyle w:val="ListParagraph"/>
        <w:numPr>
          <w:ilvl w:val="0"/>
          <w:numId w:val="67"/>
        </w:numPr>
        <w:spacing w:after="0"/>
        <w:ind w:firstLineChars="0"/>
        <w:rPr>
          <w:rFonts w:eastAsia="Arial"/>
          <w:lang w:eastAsia="zh-CN"/>
        </w:rPr>
      </w:pPr>
      <w:r w:rsidRPr="005C59C5">
        <w:rPr>
          <w:rFonts w:eastAsia="Arial"/>
          <w:lang w:eastAsia="zh-CN"/>
        </w:rPr>
        <w:t>It should be feasible to boost the PC2 cases that have 1dB to 3dB margin by 0.5 dB</w:t>
      </w:r>
    </w:p>
    <w:p w14:paraId="156E215A" w14:textId="77777777" w:rsidR="00685C2D" w:rsidRPr="005C59C5" w:rsidRDefault="00685C2D" w:rsidP="00685C2D">
      <w:pPr>
        <w:pStyle w:val="ListParagraph"/>
        <w:numPr>
          <w:ilvl w:val="0"/>
          <w:numId w:val="67"/>
        </w:numPr>
        <w:spacing w:after="0"/>
        <w:ind w:firstLineChars="0"/>
        <w:rPr>
          <w:rFonts w:eastAsia="Arial"/>
          <w:lang w:eastAsia="zh-CN"/>
        </w:rPr>
      </w:pPr>
      <w:r w:rsidRPr="005C59C5">
        <w:rPr>
          <w:rFonts w:eastAsia="Arial"/>
          <w:lang w:eastAsia="zh-CN"/>
        </w:rPr>
        <w:t>R18 power boosting does not apply to PC1.5</w:t>
      </w:r>
    </w:p>
    <w:p w14:paraId="3D024167" w14:textId="5968A0DA" w:rsidR="00685C2D" w:rsidRPr="005C59C5" w:rsidRDefault="00685C2D" w:rsidP="00685C2D">
      <w:pPr>
        <w:pStyle w:val="ListParagraph"/>
        <w:numPr>
          <w:ilvl w:val="0"/>
          <w:numId w:val="67"/>
        </w:numPr>
        <w:spacing w:after="0"/>
        <w:ind w:firstLineChars="0"/>
        <w:rPr>
          <w:rFonts w:eastAsia="Arial"/>
          <w:lang w:eastAsia="zh-CN"/>
        </w:rPr>
      </w:pPr>
      <w:r w:rsidRPr="005C59C5">
        <w:rPr>
          <w:rFonts w:eastAsia="Arial"/>
          <w:lang w:eastAsia="zh-CN"/>
        </w:rPr>
        <w:t>R18 power boosting applies to QPSK inner DFT-s-OFDM with 1/0.5dB boosting for PC3/PC2 (we do not have data for Pi/2 BPSK</w:t>
      </w:r>
      <w:r w:rsidR="004D309E">
        <w:rPr>
          <w:rFonts w:eastAsia="Arial"/>
          <w:lang w:eastAsia="zh-CN"/>
        </w:rPr>
        <w:t>.</w:t>
      </w:r>
    </w:p>
    <w:p w14:paraId="1A93DFBE" w14:textId="77777777" w:rsidR="00685C2D" w:rsidRDefault="00685C2D" w:rsidP="00685C2D">
      <w:pPr>
        <w:spacing w:after="0"/>
        <w:rPr>
          <w:rFonts w:eastAsia="Arial"/>
          <w:b/>
          <w:bCs/>
          <w:lang w:eastAsia="zh-CN"/>
        </w:rPr>
      </w:pPr>
    </w:p>
    <w:p w14:paraId="35FB2EE7" w14:textId="77777777" w:rsidR="00685C2D" w:rsidRDefault="00685C2D" w:rsidP="00685C2D">
      <w:pPr>
        <w:spacing w:after="0"/>
        <w:rPr>
          <w:rFonts w:eastAsia="Arial"/>
          <w:b/>
          <w:bCs/>
          <w:lang w:eastAsia="zh-CN"/>
        </w:rPr>
      </w:pPr>
      <w:r w:rsidRPr="003772DA">
        <w:rPr>
          <w:rFonts w:eastAsia="Arial"/>
          <w:b/>
          <w:bCs/>
          <w:lang w:eastAsia="zh-CN"/>
        </w:rPr>
        <w:t>Observations</w:t>
      </w:r>
      <w:r>
        <w:rPr>
          <w:rFonts w:eastAsia="Arial"/>
          <w:b/>
          <w:bCs/>
          <w:lang w:eastAsia="zh-CN"/>
        </w:rPr>
        <w:t xml:space="preserve"> on R18 boosting options</w:t>
      </w:r>
      <w:r w:rsidRPr="003772DA">
        <w:rPr>
          <w:rFonts w:eastAsia="Arial"/>
          <w:b/>
          <w:bCs/>
          <w:lang w:eastAsia="zh-CN"/>
        </w:rPr>
        <w:t>:</w:t>
      </w:r>
    </w:p>
    <w:p w14:paraId="449B79D3" w14:textId="032527F1" w:rsidR="008D5F40" w:rsidRDefault="00685C2D" w:rsidP="00685C2D">
      <w:pPr>
        <w:pStyle w:val="ListParagraph"/>
        <w:numPr>
          <w:ilvl w:val="0"/>
          <w:numId w:val="67"/>
        </w:numPr>
        <w:spacing w:after="0"/>
        <w:ind w:firstLineChars="0"/>
        <w:rPr>
          <w:rFonts w:eastAsia="Arial"/>
          <w:b/>
          <w:bCs/>
          <w:lang w:eastAsia="zh-CN"/>
        </w:rPr>
      </w:pPr>
      <w:r>
        <w:rPr>
          <w:rFonts w:eastAsia="Arial"/>
          <w:b/>
          <w:bCs/>
          <w:lang w:eastAsia="zh-CN"/>
        </w:rPr>
        <w:t xml:space="preserve">For 5MHz PC3 and PC2: </w:t>
      </w:r>
      <w:r w:rsidR="008D5F40">
        <w:rPr>
          <w:rFonts w:eastAsia="Arial"/>
          <w:b/>
          <w:bCs/>
          <w:lang w:eastAsia="zh-CN"/>
        </w:rPr>
        <w:t>The margin seems sufficient except for:</w:t>
      </w:r>
    </w:p>
    <w:p w14:paraId="00431436" w14:textId="52CC08CF" w:rsidR="00685C2D" w:rsidRDefault="00685C2D" w:rsidP="008D5F40">
      <w:pPr>
        <w:pStyle w:val="ListParagraph"/>
        <w:numPr>
          <w:ilvl w:val="1"/>
          <w:numId w:val="67"/>
        </w:numPr>
        <w:spacing w:after="0"/>
        <w:ind w:firstLineChars="0"/>
        <w:rPr>
          <w:rFonts w:eastAsia="Arial"/>
          <w:b/>
          <w:bCs/>
          <w:lang w:eastAsia="zh-CN"/>
        </w:rPr>
      </w:pPr>
      <w:proofErr w:type="spellStart"/>
      <w:r>
        <w:rPr>
          <w:rFonts w:eastAsia="Arial"/>
          <w:b/>
          <w:bCs/>
          <w:lang w:eastAsia="zh-CN"/>
        </w:rPr>
        <w:t>SEMlow</w:t>
      </w:r>
      <w:proofErr w:type="spellEnd"/>
      <w:r>
        <w:rPr>
          <w:rFonts w:eastAsia="Arial"/>
          <w:b/>
          <w:bCs/>
          <w:lang w:eastAsia="zh-CN"/>
        </w:rPr>
        <w:t xml:space="preserve"> for ¼ low extension for 1Tx PC3 and 1Tx PC2</w:t>
      </w:r>
    </w:p>
    <w:p w14:paraId="286B0940" w14:textId="1B9F805F" w:rsidR="00685C2D" w:rsidRDefault="00685C2D" w:rsidP="00685C2D">
      <w:pPr>
        <w:pStyle w:val="ListParagraph"/>
        <w:numPr>
          <w:ilvl w:val="0"/>
          <w:numId w:val="67"/>
        </w:numPr>
        <w:spacing w:after="0"/>
        <w:ind w:firstLineChars="0"/>
        <w:rPr>
          <w:rFonts w:eastAsia="Arial"/>
          <w:b/>
          <w:bCs/>
          <w:lang w:eastAsia="zh-CN"/>
        </w:rPr>
      </w:pPr>
      <w:r>
        <w:rPr>
          <w:rFonts w:eastAsia="Arial"/>
          <w:b/>
          <w:bCs/>
          <w:lang w:eastAsia="zh-CN"/>
        </w:rPr>
        <w:t xml:space="preserve">For 20MHz PC3 and PC2: </w:t>
      </w:r>
      <w:r w:rsidR="008D5F40">
        <w:rPr>
          <w:rFonts w:eastAsia="Arial"/>
          <w:b/>
          <w:bCs/>
          <w:lang w:eastAsia="zh-CN"/>
        </w:rPr>
        <w:t>T</w:t>
      </w:r>
      <w:r>
        <w:rPr>
          <w:rFonts w:eastAsia="Arial"/>
          <w:b/>
          <w:bCs/>
          <w:lang w:eastAsia="zh-CN"/>
        </w:rPr>
        <w:t>he margin seems sufficient</w:t>
      </w:r>
    </w:p>
    <w:p w14:paraId="69BA5A55" w14:textId="4D5AD445" w:rsidR="008D5F40" w:rsidRDefault="00685C2D" w:rsidP="00685C2D">
      <w:pPr>
        <w:pStyle w:val="ListParagraph"/>
        <w:numPr>
          <w:ilvl w:val="0"/>
          <w:numId w:val="67"/>
        </w:numPr>
        <w:spacing w:after="0"/>
        <w:ind w:firstLineChars="0"/>
        <w:rPr>
          <w:rFonts w:eastAsia="Arial"/>
          <w:b/>
          <w:bCs/>
          <w:lang w:eastAsia="zh-CN"/>
        </w:rPr>
      </w:pPr>
      <w:r>
        <w:rPr>
          <w:rFonts w:eastAsia="Arial"/>
          <w:b/>
          <w:bCs/>
          <w:lang w:eastAsia="zh-CN"/>
        </w:rPr>
        <w:t xml:space="preserve">For 50MHz PC3 and PC2: </w:t>
      </w:r>
      <w:r w:rsidR="004D309E">
        <w:rPr>
          <w:rFonts w:eastAsia="Arial"/>
          <w:b/>
          <w:bCs/>
          <w:lang w:eastAsia="zh-CN"/>
        </w:rPr>
        <w:t>The margin seems sufficient except for:</w:t>
      </w:r>
    </w:p>
    <w:p w14:paraId="507C012D" w14:textId="4D414010" w:rsidR="008D5F40" w:rsidRDefault="004D309E" w:rsidP="008D5F40">
      <w:pPr>
        <w:pStyle w:val="ListParagraph"/>
        <w:numPr>
          <w:ilvl w:val="1"/>
          <w:numId w:val="67"/>
        </w:numPr>
        <w:spacing w:after="0"/>
        <w:ind w:firstLineChars="0"/>
        <w:rPr>
          <w:rFonts w:eastAsia="Arial"/>
          <w:b/>
          <w:bCs/>
          <w:lang w:eastAsia="zh-CN"/>
        </w:rPr>
      </w:pPr>
      <w:proofErr w:type="spellStart"/>
      <w:r>
        <w:rPr>
          <w:rFonts w:eastAsia="Arial"/>
          <w:b/>
          <w:bCs/>
          <w:lang w:eastAsia="zh-CN"/>
        </w:rPr>
        <w:t>ACLRlow</w:t>
      </w:r>
      <w:proofErr w:type="spellEnd"/>
      <w:r w:rsidR="008D5F40">
        <w:rPr>
          <w:rFonts w:eastAsia="Arial"/>
          <w:b/>
          <w:bCs/>
          <w:lang w:eastAsia="zh-CN"/>
        </w:rPr>
        <w:t xml:space="preserve"> ¼ low extension for 1Tx PC3 and </w:t>
      </w:r>
    </w:p>
    <w:p w14:paraId="00DEA577" w14:textId="309D086F" w:rsidR="008D5F40" w:rsidRPr="008D5F40" w:rsidRDefault="008D5F40" w:rsidP="008D5F40">
      <w:pPr>
        <w:pStyle w:val="ListParagraph"/>
        <w:numPr>
          <w:ilvl w:val="1"/>
          <w:numId w:val="67"/>
        </w:numPr>
        <w:spacing w:after="0"/>
        <w:ind w:firstLineChars="0"/>
        <w:rPr>
          <w:rFonts w:eastAsia="Arial"/>
          <w:b/>
          <w:bCs/>
          <w:lang w:eastAsia="zh-CN"/>
        </w:rPr>
      </w:pPr>
      <w:proofErr w:type="spellStart"/>
      <w:r>
        <w:rPr>
          <w:rFonts w:eastAsia="Arial"/>
          <w:b/>
          <w:bCs/>
          <w:lang w:eastAsia="zh-CN"/>
        </w:rPr>
        <w:t>SEMlow</w:t>
      </w:r>
      <w:proofErr w:type="spellEnd"/>
      <w:r>
        <w:rPr>
          <w:rFonts w:eastAsia="Arial"/>
          <w:b/>
          <w:bCs/>
          <w:lang w:eastAsia="zh-CN"/>
        </w:rPr>
        <w:t xml:space="preserve"> ½ and ¼ low extension for 1Tx PC2 </w:t>
      </w:r>
    </w:p>
    <w:p w14:paraId="403C5C25" w14:textId="21A2895F" w:rsidR="005364CC" w:rsidRDefault="00286E52" w:rsidP="00286E52">
      <w:pPr>
        <w:pStyle w:val="ListParagraph"/>
        <w:numPr>
          <w:ilvl w:val="0"/>
          <w:numId w:val="67"/>
        </w:numPr>
        <w:spacing w:after="0"/>
        <w:ind w:firstLineChars="0"/>
        <w:rPr>
          <w:rFonts w:eastAsia="Arial"/>
          <w:b/>
          <w:bCs/>
          <w:lang w:eastAsia="zh-CN"/>
        </w:rPr>
      </w:pPr>
      <w:r>
        <w:rPr>
          <w:rFonts w:eastAsia="Arial"/>
          <w:b/>
          <w:bCs/>
          <w:lang w:eastAsia="zh-CN"/>
        </w:rPr>
        <w:t xml:space="preserve">For 100MHz PC3 and PC2: </w:t>
      </w:r>
      <w:r w:rsidR="008D5F40">
        <w:rPr>
          <w:rFonts w:eastAsia="Arial"/>
          <w:b/>
          <w:bCs/>
          <w:lang w:eastAsia="zh-CN"/>
        </w:rPr>
        <w:t>The margin seems sufficient e</w:t>
      </w:r>
      <w:r>
        <w:rPr>
          <w:rFonts w:eastAsia="Arial"/>
          <w:b/>
          <w:bCs/>
          <w:lang w:eastAsia="zh-CN"/>
        </w:rPr>
        <w:t>xcept for</w:t>
      </w:r>
      <w:r w:rsidR="005364CC">
        <w:rPr>
          <w:rFonts w:eastAsia="Arial"/>
          <w:b/>
          <w:bCs/>
          <w:lang w:eastAsia="zh-CN"/>
        </w:rPr>
        <w:t>:</w:t>
      </w:r>
    </w:p>
    <w:p w14:paraId="797E82EB" w14:textId="5DA7C391" w:rsidR="005364CC" w:rsidRDefault="004D309E" w:rsidP="005364CC">
      <w:pPr>
        <w:pStyle w:val="ListParagraph"/>
        <w:numPr>
          <w:ilvl w:val="1"/>
          <w:numId w:val="67"/>
        </w:numPr>
        <w:spacing w:after="0"/>
        <w:ind w:firstLineChars="0"/>
        <w:rPr>
          <w:rFonts w:eastAsia="Arial"/>
          <w:b/>
          <w:bCs/>
          <w:lang w:eastAsia="zh-CN"/>
        </w:rPr>
      </w:pPr>
      <w:proofErr w:type="spellStart"/>
      <w:r>
        <w:rPr>
          <w:rFonts w:eastAsia="Arial"/>
          <w:b/>
          <w:bCs/>
          <w:lang w:eastAsia="zh-CN"/>
        </w:rPr>
        <w:t>ACLR</w:t>
      </w:r>
      <w:r w:rsidR="008D5F40">
        <w:rPr>
          <w:rFonts w:eastAsia="Arial"/>
          <w:b/>
          <w:bCs/>
          <w:lang w:eastAsia="zh-CN"/>
        </w:rPr>
        <w:t>low</w:t>
      </w:r>
      <w:proofErr w:type="spellEnd"/>
      <w:r w:rsidR="008D5F40">
        <w:rPr>
          <w:rFonts w:eastAsia="Arial"/>
          <w:b/>
          <w:bCs/>
          <w:lang w:eastAsia="zh-CN"/>
        </w:rPr>
        <w:t xml:space="preserve"> </w:t>
      </w:r>
      <w:r w:rsidR="00286E52">
        <w:rPr>
          <w:rFonts w:eastAsia="Arial"/>
          <w:b/>
          <w:bCs/>
          <w:lang w:eastAsia="zh-CN"/>
        </w:rPr>
        <w:t xml:space="preserve">¼ low extension for 1Tx PC3 and </w:t>
      </w:r>
    </w:p>
    <w:p w14:paraId="469F7268" w14:textId="0522C8A3" w:rsidR="00286E52" w:rsidRDefault="008D5F40" w:rsidP="008D5F40">
      <w:pPr>
        <w:pStyle w:val="ListParagraph"/>
        <w:numPr>
          <w:ilvl w:val="1"/>
          <w:numId w:val="67"/>
        </w:numPr>
        <w:spacing w:after="0"/>
        <w:ind w:firstLineChars="0"/>
        <w:rPr>
          <w:rFonts w:eastAsia="Arial"/>
          <w:b/>
          <w:bCs/>
          <w:lang w:eastAsia="zh-CN"/>
        </w:rPr>
      </w:pPr>
      <w:proofErr w:type="spellStart"/>
      <w:r>
        <w:rPr>
          <w:rFonts w:eastAsia="Arial"/>
          <w:b/>
          <w:bCs/>
          <w:lang w:eastAsia="zh-CN"/>
        </w:rPr>
        <w:t>SEMlow</w:t>
      </w:r>
      <w:proofErr w:type="spellEnd"/>
      <w:r>
        <w:rPr>
          <w:rFonts w:eastAsia="Arial"/>
          <w:b/>
          <w:bCs/>
          <w:lang w:eastAsia="zh-CN"/>
        </w:rPr>
        <w:t xml:space="preserve"> </w:t>
      </w:r>
      <w:r w:rsidR="00286E52">
        <w:rPr>
          <w:rFonts w:eastAsia="Arial"/>
          <w:b/>
          <w:bCs/>
          <w:lang w:eastAsia="zh-CN"/>
        </w:rPr>
        <w:t>½ and ¼ low extension for 1Tx</w:t>
      </w:r>
      <w:r>
        <w:rPr>
          <w:rFonts w:eastAsia="Arial"/>
          <w:b/>
          <w:bCs/>
          <w:lang w:eastAsia="zh-CN"/>
        </w:rPr>
        <w:t xml:space="preserve"> </w:t>
      </w:r>
      <w:r w:rsidR="00286E52">
        <w:rPr>
          <w:rFonts w:eastAsia="Arial"/>
          <w:b/>
          <w:bCs/>
          <w:lang w:eastAsia="zh-CN"/>
        </w:rPr>
        <w:t>PC2</w:t>
      </w:r>
    </w:p>
    <w:p w14:paraId="62FAC3C1" w14:textId="1DEFAEC7" w:rsidR="008D5F40" w:rsidRPr="008D5F40" w:rsidRDefault="008D5F40" w:rsidP="008D5F40">
      <w:pPr>
        <w:pStyle w:val="ListParagraph"/>
        <w:numPr>
          <w:ilvl w:val="1"/>
          <w:numId w:val="67"/>
        </w:numPr>
        <w:spacing w:after="0"/>
        <w:ind w:firstLineChars="0"/>
        <w:rPr>
          <w:rFonts w:eastAsia="Arial"/>
          <w:b/>
          <w:bCs/>
          <w:lang w:eastAsia="zh-CN"/>
        </w:rPr>
      </w:pPr>
      <w:r>
        <w:rPr>
          <w:rFonts w:eastAsia="Arial"/>
          <w:b/>
          <w:bCs/>
          <w:lang w:eastAsia="zh-CN"/>
        </w:rPr>
        <w:t xml:space="preserve">Some </w:t>
      </w:r>
      <w:proofErr w:type="spellStart"/>
      <w:r w:rsidR="004D309E">
        <w:rPr>
          <w:rFonts w:eastAsia="Arial"/>
          <w:b/>
          <w:bCs/>
          <w:lang w:eastAsia="zh-CN"/>
        </w:rPr>
        <w:t>ACLRhigh</w:t>
      </w:r>
      <w:proofErr w:type="spellEnd"/>
      <w:r w:rsidR="004D309E">
        <w:rPr>
          <w:rFonts w:eastAsia="Arial"/>
          <w:b/>
          <w:bCs/>
          <w:lang w:eastAsia="zh-CN"/>
        </w:rPr>
        <w:t xml:space="preserve"> and </w:t>
      </w:r>
      <w:proofErr w:type="spellStart"/>
      <w:r w:rsidR="004D309E">
        <w:rPr>
          <w:rFonts w:eastAsia="Arial"/>
          <w:b/>
          <w:bCs/>
          <w:lang w:eastAsia="zh-CN"/>
        </w:rPr>
        <w:t>SEMhigh</w:t>
      </w:r>
      <w:proofErr w:type="spellEnd"/>
      <w:r w:rsidR="004D309E">
        <w:rPr>
          <w:rFonts w:eastAsia="Arial"/>
          <w:b/>
          <w:bCs/>
          <w:lang w:eastAsia="zh-CN"/>
        </w:rPr>
        <w:t xml:space="preserve"> </w:t>
      </w:r>
      <w:r>
        <w:rPr>
          <w:rFonts w:eastAsia="Arial"/>
          <w:b/>
          <w:bCs/>
          <w:lang w:eastAsia="zh-CN"/>
        </w:rPr>
        <w:t>marginal cases for 2Tx PC2</w:t>
      </w:r>
      <w:r w:rsidR="004D309E">
        <w:rPr>
          <w:rFonts w:eastAsia="Arial"/>
          <w:b/>
          <w:bCs/>
          <w:lang w:eastAsia="zh-CN"/>
        </w:rPr>
        <w:t>.</w:t>
      </w:r>
    </w:p>
    <w:p w14:paraId="30134CF2" w14:textId="77777777" w:rsidR="00685C2D" w:rsidRDefault="00685C2D" w:rsidP="00FC4D60">
      <w:pPr>
        <w:spacing w:after="0"/>
        <w:rPr>
          <w:rFonts w:eastAsia="Arial"/>
          <w:b/>
          <w:bCs/>
          <w:lang w:eastAsia="zh-CN"/>
        </w:rPr>
      </w:pPr>
    </w:p>
    <w:p w14:paraId="2D772A8C" w14:textId="3F423CFA" w:rsidR="00FC4D60" w:rsidRDefault="00FC4D60" w:rsidP="00FC4D60">
      <w:pPr>
        <w:spacing w:after="0"/>
        <w:rPr>
          <w:rFonts w:eastAsia="Arial"/>
          <w:b/>
          <w:bCs/>
          <w:lang w:eastAsia="zh-CN"/>
        </w:rPr>
      </w:pPr>
      <w:r>
        <w:rPr>
          <w:rFonts w:eastAsia="Arial"/>
          <w:b/>
          <w:bCs/>
          <w:lang w:eastAsia="zh-CN"/>
        </w:rPr>
        <w:t xml:space="preserve">Proposal on enabling R18 power boosting: Although our data shows margin for new inners to enable boosting, further verification is needed for the </w:t>
      </w:r>
      <w:r w:rsidR="008D5F40">
        <w:rPr>
          <w:rFonts w:eastAsia="Arial"/>
          <w:b/>
          <w:bCs/>
          <w:lang w:eastAsia="zh-CN"/>
        </w:rPr>
        <w:t xml:space="preserve">few </w:t>
      </w:r>
      <w:r>
        <w:rPr>
          <w:rFonts w:eastAsia="Arial"/>
          <w:b/>
          <w:bCs/>
          <w:lang w:eastAsia="zh-CN"/>
        </w:rPr>
        <w:t xml:space="preserve">PC3 </w:t>
      </w:r>
      <w:r w:rsidR="008D5F40">
        <w:rPr>
          <w:rFonts w:eastAsia="Arial"/>
          <w:b/>
          <w:bCs/>
          <w:lang w:eastAsia="zh-CN"/>
        </w:rPr>
        <w:t xml:space="preserve">and PC2 </w:t>
      </w:r>
      <w:r>
        <w:rPr>
          <w:rFonts w:eastAsia="Arial"/>
          <w:b/>
          <w:bCs/>
          <w:lang w:eastAsia="zh-CN"/>
        </w:rPr>
        <w:t xml:space="preserve">cases with less than 3dB </w:t>
      </w:r>
      <w:r w:rsidR="008D5F40">
        <w:rPr>
          <w:rFonts w:eastAsia="Arial"/>
          <w:b/>
          <w:bCs/>
          <w:lang w:eastAsia="zh-CN"/>
        </w:rPr>
        <w:t xml:space="preserve">and 1.5dB </w:t>
      </w:r>
      <w:r>
        <w:rPr>
          <w:rFonts w:eastAsia="Arial"/>
          <w:b/>
          <w:bCs/>
          <w:lang w:eastAsia="zh-CN"/>
        </w:rPr>
        <w:t xml:space="preserve">margin </w:t>
      </w:r>
      <w:r w:rsidR="008D5F40">
        <w:rPr>
          <w:rFonts w:eastAsia="Arial"/>
          <w:b/>
          <w:bCs/>
          <w:lang w:eastAsia="zh-CN"/>
        </w:rPr>
        <w:t>respectively.</w:t>
      </w:r>
    </w:p>
    <w:p w14:paraId="18BC0399" w14:textId="094261B6" w:rsidR="00DA4ADB" w:rsidRDefault="00DA4ADB" w:rsidP="00DA4ADB">
      <w:pPr>
        <w:pStyle w:val="Heading2"/>
        <w:rPr>
          <w:rFonts w:eastAsia="Arial"/>
          <w:lang w:eastAsia="zh-CN"/>
        </w:rPr>
      </w:pPr>
      <w:r>
        <w:rPr>
          <w:rFonts w:eastAsia="Arial"/>
          <w:lang w:eastAsia="zh-CN"/>
        </w:rPr>
        <w:lastRenderedPageBreak/>
        <w:t>2.</w:t>
      </w:r>
      <w:r w:rsidR="00685C2D">
        <w:rPr>
          <w:rFonts w:eastAsia="Arial"/>
          <w:lang w:eastAsia="zh-CN"/>
        </w:rPr>
        <w:t>3</w:t>
      </w:r>
      <w:r>
        <w:rPr>
          <w:rFonts w:eastAsia="Arial"/>
          <w:lang w:eastAsia="zh-CN"/>
        </w:rPr>
        <w:t xml:space="preserve"> Applicability to small channel BW</w:t>
      </w:r>
    </w:p>
    <w:p w14:paraId="55A99A55" w14:textId="6E080E3F" w:rsidR="00DA4ADB" w:rsidRDefault="00DA4ADB" w:rsidP="00DA4ADB">
      <w:pPr>
        <w:rPr>
          <w:rFonts w:eastAsia="Arial"/>
          <w:lang w:eastAsia="zh-CN"/>
        </w:rPr>
      </w:pPr>
      <w:r>
        <w:rPr>
          <w:rFonts w:eastAsia="Arial"/>
          <w:lang w:eastAsia="zh-CN"/>
        </w:rPr>
        <w:t xml:space="preserve">One of the </w:t>
      </w:r>
      <w:r w:rsidR="00F14A7B">
        <w:rPr>
          <w:rFonts w:eastAsia="Arial"/>
          <w:lang w:eastAsia="zh-CN"/>
        </w:rPr>
        <w:t>reasons</w:t>
      </w:r>
      <w:r>
        <w:rPr>
          <w:rFonts w:eastAsia="Arial"/>
          <w:lang w:eastAsia="zh-CN"/>
        </w:rPr>
        <w:t xml:space="preserve"> to use the initial CBW to define the ACLR and SEM </w:t>
      </w:r>
      <w:r w:rsidR="00434398">
        <w:rPr>
          <w:rFonts w:eastAsia="Arial"/>
          <w:lang w:eastAsia="zh-CN"/>
        </w:rPr>
        <w:t xml:space="preserve">measurement </w:t>
      </w:r>
      <w:r>
        <w:rPr>
          <w:rFonts w:eastAsia="Arial"/>
          <w:lang w:eastAsia="zh-CN"/>
        </w:rPr>
        <w:t>BW in the extended cases is to make sure the spurious emission region of the extended SEM guaranty that the ITU -30dBm/MHz at 250% BW is met</w:t>
      </w:r>
      <w:r w:rsidR="00434398">
        <w:rPr>
          <w:rFonts w:eastAsia="Arial"/>
          <w:lang w:eastAsia="zh-CN"/>
        </w:rPr>
        <w:t xml:space="preserve"> by coinciding with the spurious emission region</w:t>
      </w:r>
      <w:r>
        <w:rPr>
          <w:rFonts w:eastAsia="Arial"/>
          <w:lang w:eastAsia="zh-CN"/>
        </w:rPr>
        <w:t>.</w:t>
      </w:r>
    </w:p>
    <w:p w14:paraId="12CB0A59" w14:textId="4EC014AE" w:rsidR="00DA4ADB" w:rsidRDefault="00DA4ADB" w:rsidP="00DA4ADB">
      <w:pPr>
        <w:rPr>
          <w:rFonts w:eastAsia="Arial"/>
          <w:lang w:eastAsia="zh-CN"/>
        </w:rPr>
      </w:pPr>
      <w:r>
        <w:rPr>
          <w:rFonts w:eastAsia="Arial"/>
          <w:lang w:eastAsia="zh-CN"/>
        </w:rPr>
        <w:t>This mean</w:t>
      </w:r>
      <w:r w:rsidR="00434398">
        <w:rPr>
          <w:rFonts w:eastAsia="Arial"/>
          <w:lang w:eastAsia="zh-CN"/>
        </w:rPr>
        <w:t>s</w:t>
      </w:r>
      <w:r>
        <w:rPr>
          <w:rFonts w:eastAsia="Arial"/>
          <w:lang w:eastAsia="zh-CN"/>
        </w:rPr>
        <w:t xml:space="preserve"> that</w:t>
      </w:r>
      <w:r w:rsidR="00434398">
        <w:rPr>
          <w:rFonts w:eastAsia="Arial"/>
          <w:lang w:eastAsia="zh-CN"/>
        </w:rPr>
        <w:t>:</w:t>
      </w:r>
      <w:r>
        <w:rPr>
          <w:rFonts w:eastAsia="Arial"/>
          <w:lang w:eastAsia="zh-CN"/>
        </w:rPr>
        <w:t xml:space="preserve"> extended region+CBW+5MHz ≤ 2*CBW =&gt; CBW ≥ extended region+5MHz</w:t>
      </w:r>
      <w:r w:rsidR="00020E97">
        <w:rPr>
          <w:rFonts w:eastAsia="Arial"/>
          <w:lang w:eastAsia="zh-CN"/>
        </w:rPr>
        <w:t>.</w:t>
      </w:r>
      <w:r w:rsidR="00F14A7B">
        <w:rPr>
          <w:rFonts w:eastAsia="Arial"/>
          <w:lang w:eastAsia="zh-CN"/>
        </w:rPr>
        <w:t xml:space="preserve"> This is tabulated in Table 2 for the lowest channel bandwidth</w:t>
      </w:r>
      <w:r w:rsidR="00434398">
        <w:rPr>
          <w:rFonts w:eastAsia="Arial"/>
          <w:lang w:eastAsia="zh-CN"/>
        </w:rPr>
        <w:t>s</w:t>
      </w:r>
      <w:r w:rsidR="00F14A7B">
        <w:rPr>
          <w:rFonts w:eastAsia="Arial"/>
          <w:lang w:eastAsia="zh-CN"/>
        </w:rPr>
        <w:t>.</w:t>
      </w:r>
    </w:p>
    <w:p w14:paraId="2FD148C7" w14:textId="3B3DEF72" w:rsidR="00F14A7B" w:rsidRDefault="00F14A7B" w:rsidP="00F14A7B">
      <w:pPr>
        <w:pStyle w:val="Caption"/>
        <w:keepNext/>
      </w:pPr>
      <w:r>
        <w:t xml:space="preserve">Table </w:t>
      </w:r>
      <w:r>
        <w:fldChar w:fldCharType="begin"/>
      </w:r>
      <w:r>
        <w:instrText xml:space="preserve"> SEQ Table \* ARABIC </w:instrText>
      </w:r>
      <w:r>
        <w:fldChar w:fldCharType="separate"/>
      </w:r>
      <w:r>
        <w:rPr>
          <w:noProof/>
        </w:rPr>
        <w:t>2</w:t>
      </w:r>
      <w:r>
        <w:fldChar w:fldCharType="end"/>
      </w:r>
      <w:r>
        <w:t>: Minimum channel bandwidth to meet ITU 250% criteria</w:t>
      </w:r>
    </w:p>
    <w:tbl>
      <w:tblPr>
        <w:tblW w:w="3986" w:type="dxa"/>
        <w:jc w:val="center"/>
        <w:tblLook w:val="04A0" w:firstRow="1" w:lastRow="0" w:firstColumn="1" w:lastColumn="0" w:noHBand="0" w:noVBand="1"/>
      </w:tblPr>
      <w:tblGrid>
        <w:gridCol w:w="1019"/>
        <w:gridCol w:w="558"/>
        <w:gridCol w:w="625"/>
        <w:gridCol w:w="625"/>
        <w:gridCol w:w="625"/>
        <w:gridCol w:w="534"/>
      </w:tblGrid>
      <w:tr w:rsidR="00F14A7B" w:rsidRPr="00F14A7B" w14:paraId="2DFFA133" w14:textId="77777777" w:rsidTr="00434398">
        <w:trPr>
          <w:trHeight w:val="70"/>
          <w:jc w:val="center"/>
        </w:trPr>
        <w:tc>
          <w:tcPr>
            <w:tcW w:w="157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0F2B3D20" w14:textId="77777777" w:rsidR="00F14A7B" w:rsidRPr="00F14A7B" w:rsidRDefault="00F14A7B" w:rsidP="00F14A7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F14A7B">
              <w:rPr>
                <w:rFonts w:asciiTheme="minorHAnsi" w:hAnsiTheme="minorHAnsi" w:cstheme="minorHAnsi"/>
                <w:color w:val="000000"/>
                <w:sz w:val="18"/>
                <w:szCs w:val="18"/>
                <w:lang w:val="en-US" w:eastAsia="en-US"/>
              </w:rPr>
              <w:t>CBW [MHz]</w:t>
            </w:r>
          </w:p>
        </w:tc>
        <w:tc>
          <w:tcPr>
            <w:tcW w:w="625" w:type="dxa"/>
            <w:tcBorders>
              <w:top w:val="single" w:sz="4" w:space="0" w:color="auto"/>
              <w:left w:val="nil"/>
              <w:bottom w:val="single" w:sz="4" w:space="0" w:color="auto"/>
              <w:right w:val="single" w:sz="4" w:space="0" w:color="auto"/>
            </w:tcBorders>
            <w:shd w:val="clear" w:color="auto" w:fill="auto"/>
            <w:noWrap/>
            <w:vAlign w:val="bottom"/>
            <w:hideMark/>
          </w:tcPr>
          <w:p w14:paraId="08D4B764" w14:textId="77777777" w:rsidR="00F14A7B" w:rsidRPr="00F14A7B" w:rsidRDefault="00F14A7B" w:rsidP="00F14A7B">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F14A7B">
              <w:rPr>
                <w:rFonts w:asciiTheme="minorHAnsi" w:hAnsiTheme="minorHAnsi" w:cstheme="minorHAnsi"/>
                <w:color w:val="000000"/>
                <w:sz w:val="18"/>
                <w:szCs w:val="18"/>
                <w:lang w:val="en-US" w:eastAsia="en-US"/>
              </w:rPr>
              <w:t>3</w:t>
            </w:r>
          </w:p>
        </w:tc>
        <w:tc>
          <w:tcPr>
            <w:tcW w:w="625" w:type="dxa"/>
            <w:tcBorders>
              <w:top w:val="single" w:sz="4" w:space="0" w:color="auto"/>
              <w:left w:val="nil"/>
              <w:bottom w:val="single" w:sz="4" w:space="0" w:color="auto"/>
              <w:right w:val="single" w:sz="4" w:space="0" w:color="auto"/>
            </w:tcBorders>
            <w:shd w:val="clear" w:color="auto" w:fill="auto"/>
            <w:noWrap/>
            <w:vAlign w:val="bottom"/>
            <w:hideMark/>
          </w:tcPr>
          <w:p w14:paraId="638C24BC" w14:textId="77777777" w:rsidR="00F14A7B" w:rsidRPr="00F14A7B" w:rsidRDefault="00F14A7B" w:rsidP="00F14A7B">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F14A7B">
              <w:rPr>
                <w:rFonts w:asciiTheme="minorHAnsi" w:hAnsiTheme="minorHAnsi" w:cstheme="minorHAnsi"/>
                <w:color w:val="000000"/>
                <w:sz w:val="18"/>
                <w:szCs w:val="18"/>
                <w:lang w:val="en-US" w:eastAsia="en-US"/>
              </w:rPr>
              <w:t>5</w:t>
            </w:r>
          </w:p>
        </w:tc>
        <w:tc>
          <w:tcPr>
            <w:tcW w:w="625" w:type="dxa"/>
            <w:tcBorders>
              <w:top w:val="single" w:sz="4" w:space="0" w:color="auto"/>
              <w:left w:val="nil"/>
              <w:bottom w:val="single" w:sz="4" w:space="0" w:color="auto"/>
              <w:right w:val="single" w:sz="4" w:space="0" w:color="auto"/>
            </w:tcBorders>
            <w:shd w:val="clear" w:color="auto" w:fill="auto"/>
            <w:noWrap/>
            <w:vAlign w:val="bottom"/>
            <w:hideMark/>
          </w:tcPr>
          <w:p w14:paraId="126A1CFC" w14:textId="77777777" w:rsidR="00F14A7B" w:rsidRPr="00F14A7B" w:rsidRDefault="00F14A7B" w:rsidP="00F14A7B">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F14A7B">
              <w:rPr>
                <w:rFonts w:asciiTheme="minorHAnsi" w:hAnsiTheme="minorHAnsi" w:cstheme="minorHAnsi"/>
                <w:color w:val="000000"/>
                <w:sz w:val="18"/>
                <w:szCs w:val="18"/>
                <w:lang w:val="en-US" w:eastAsia="en-US"/>
              </w:rPr>
              <w:t>7</w:t>
            </w:r>
          </w:p>
        </w:tc>
        <w:tc>
          <w:tcPr>
            <w:tcW w:w="534" w:type="dxa"/>
            <w:tcBorders>
              <w:top w:val="single" w:sz="4" w:space="0" w:color="auto"/>
              <w:left w:val="nil"/>
              <w:bottom w:val="single" w:sz="4" w:space="0" w:color="auto"/>
              <w:right w:val="single" w:sz="4" w:space="0" w:color="auto"/>
            </w:tcBorders>
            <w:shd w:val="clear" w:color="auto" w:fill="auto"/>
            <w:noWrap/>
            <w:vAlign w:val="bottom"/>
            <w:hideMark/>
          </w:tcPr>
          <w:p w14:paraId="0BE6BD7A" w14:textId="77777777" w:rsidR="00F14A7B" w:rsidRPr="00F14A7B" w:rsidRDefault="00F14A7B" w:rsidP="00F14A7B">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F14A7B">
              <w:rPr>
                <w:rFonts w:asciiTheme="minorHAnsi" w:hAnsiTheme="minorHAnsi" w:cstheme="minorHAnsi"/>
                <w:color w:val="000000"/>
                <w:sz w:val="18"/>
                <w:szCs w:val="18"/>
                <w:lang w:val="en-US" w:eastAsia="en-US"/>
              </w:rPr>
              <w:t>10</w:t>
            </w:r>
          </w:p>
        </w:tc>
      </w:tr>
      <w:tr w:rsidR="00F14A7B" w:rsidRPr="00F14A7B" w14:paraId="02D339E9" w14:textId="77777777" w:rsidTr="00434398">
        <w:trPr>
          <w:trHeight w:val="70"/>
          <w:jc w:val="center"/>
        </w:trPr>
        <w:tc>
          <w:tcPr>
            <w:tcW w:w="1019"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50EB9AC3" w14:textId="18E02C57" w:rsidR="00F14A7B" w:rsidRDefault="00434398" w:rsidP="00F14A7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F14A7B">
              <w:rPr>
                <w:rFonts w:asciiTheme="minorHAnsi" w:hAnsiTheme="minorHAnsi" w:cstheme="minorHAnsi"/>
                <w:color w:val="000000"/>
                <w:sz w:val="18"/>
                <w:szCs w:val="18"/>
                <w:lang w:val="en-US" w:eastAsia="en-US"/>
              </w:rPr>
              <w:t>E</w:t>
            </w:r>
            <w:r w:rsidR="00F14A7B" w:rsidRPr="00F14A7B">
              <w:rPr>
                <w:rFonts w:asciiTheme="minorHAnsi" w:hAnsiTheme="minorHAnsi" w:cstheme="minorHAnsi"/>
                <w:color w:val="000000"/>
                <w:sz w:val="18"/>
                <w:szCs w:val="18"/>
                <w:lang w:val="en-US" w:eastAsia="en-US"/>
              </w:rPr>
              <w:t>xtension</w:t>
            </w:r>
          </w:p>
          <w:p w14:paraId="4B500CE1" w14:textId="77777777" w:rsidR="00434398" w:rsidRDefault="00434398" w:rsidP="00F14A7B">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p w14:paraId="42D7FDFD" w14:textId="77777777" w:rsidR="00434398" w:rsidRPr="00F14A7B" w:rsidRDefault="00434398" w:rsidP="00434398">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558" w:type="dxa"/>
            <w:tcBorders>
              <w:top w:val="nil"/>
              <w:left w:val="nil"/>
              <w:bottom w:val="single" w:sz="4" w:space="0" w:color="auto"/>
              <w:right w:val="single" w:sz="4" w:space="0" w:color="auto"/>
            </w:tcBorders>
            <w:shd w:val="clear" w:color="auto" w:fill="auto"/>
            <w:noWrap/>
            <w:vAlign w:val="bottom"/>
            <w:hideMark/>
          </w:tcPr>
          <w:p w14:paraId="7337B24B" w14:textId="473F6B55" w:rsidR="00F14A7B" w:rsidRPr="00F14A7B" w:rsidRDefault="00F14A7B" w:rsidP="00F14A7B">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Theme="minorHAnsi" w:hAnsiTheme="minorHAnsi" w:cstheme="minorHAnsi"/>
                <w:color w:val="000000"/>
                <w:sz w:val="18"/>
                <w:szCs w:val="18"/>
                <w:lang w:val="en-US" w:eastAsia="en-US"/>
              </w:rPr>
              <w:t>1/4</w:t>
            </w:r>
          </w:p>
        </w:tc>
        <w:tc>
          <w:tcPr>
            <w:tcW w:w="625" w:type="dxa"/>
            <w:tcBorders>
              <w:top w:val="nil"/>
              <w:left w:val="nil"/>
              <w:bottom w:val="single" w:sz="4" w:space="0" w:color="auto"/>
              <w:right w:val="single" w:sz="4" w:space="0" w:color="auto"/>
            </w:tcBorders>
            <w:shd w:val="clear" w:color="auto" w:fill="auto"/>
            <w:noWrap/>
            <w:vAlign w:val="bottom"/>
            <w:hideMark/>
          </w:tcPr>
          <w:p w14:paraId="3ABFC9DA" w14:textId="77777777" w:rsidR="00F14A7B" w:rsidRPr="00F14A7B" w:rsidRDefault="00F14A7B" w:rsidP="00F14A7B">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F14A7B">
              <w:rPr>
                <w:rFonts w:asciiTheme="minorHAnsi" w:hAnsiTheme="minorHAnsi" w:cstheme="minorHAnsi"/>
                <w:color w:val="000000"/>
                <w:sz w:val="18"/>
                <w:szCs w:val="18"/>
                <w:lang w:val="en-US" w:eastAsia="en-US"/>
              </w:rPr>
              <w:t>5.75</w:t>
            </w:r>
          </w:p>
        </w:tc>
        <w:tc>
          <w:tcPr>
            <w:tcW w:w="625" w:type="dxa"/>
            <w:tcBorders>
              <w:top w:val="nil"/>
              <w:left w:val="nil"/>
              <w:bottom w:val="single" w:sz="4" w:space="0" w:color="auto"/>
              <w:right w:val="single" w:sz="4" w:space="0" w:color="auto"/>
            </w:tcBorders>
            <w:shd w:val="clear" w:color="auto" w:fill="auto"/>
            <w:noWrap/>
            <w:vAlign w:val="bottom"/>
            <w:hideMark/>
          </w:tcPr>
          <w:p w14:paraId="6AAF8B88" w14:textId="77777777" w:rsidR="00F14A7B" w:rsidRPr="00F14A7B" w:rsidRDefault="00F14A7B" w:rsidP="00F14A7B">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F14A7B">
              <w:rPr>
                <w:rFonts w:asciiTheme="minorHAnsi" w:hAnsiTheme="minorHAnsi" w:cstheme="minorHAnsi"/>
                <w:color w:val="000000"/>
                <w:sz w:val="18"/>
                <w:szCs w:val="18"/>
                <w:lang w:val="en-US" w:eastAsia="en-US"/>
              </w:rPr>
              <w:t>6.25</w:t>
            </w:r>
          </w:p>
        </w:tc>
        <w:tc>
          <w:tcPr>
            <w:tcW w:w="625" w:type="dxa"/>
            <w:tcBorders>
              <w:top w:val="nil"/>
              <w:left w:val="nil"/>
              <w:bottom w:val="single" w:sz="4" w:space="0" w:color="auto"/>
              <w:right w:val="single" w:sz="4" w:space="0" w:color="auto"/>
            </w:tcBorders>
            <w:shd w:val="clear" w:color="auto" w:fill="auto"/>
            <w:noWrap/>
            <w:vAlign w:val="bottom"/>
            <w:hideMark/>
          </w:tcPr>
          <w:p w14:paraId="6B88CA5A" w14:textId="77777777" w:rsidR="00F14A7B" w:rsidRPr="00F14A7B" w:rsidRDefault="00F14A7B" w:rsidP="00F14A7B">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434398">
              <w:rPr>
                <w:rFonts w:asciiTheme="minorHAnsi" w:hAnsiTheme="minorHAnsi" w:cstheme="minorHAnsi"/>
                <w:color w:val="000000"/>
                <w:sz w:val="18"/>
                <w:szCs w:val="18"/>
                <w:highlight w:val="green"/>
                <w:lang w:val="en-US" w:eastAsia="en-US"/>
              </w:rPr>
              <w:t>6.75</w:t>
            </w:r>
          </w:p>
        </w:tc>
        <w:tc>
          <w:tcPr>
            <w:tcW w:w="534" w:type="dxa"/>
            <w:tcBorders>
              <w:top w:val="nil"/>
              <w:left w:val="nil"/>
              <w:bottom w:val="single" w:sz="4" w:space="0" w:color="auto"/>
              <w:right w:val="single" w:sz="4" w:space="0" w:color="auto"/>
            </w:tcBorders>
            <w:shd w:val="clear" w:color="auto" w:fill="auto"/>
            <w:noWrap/>
            <w:vAlign w:val="bottom"/>
            <w:hideMark/>
          </w:tcPr>
          <w:p w14:paraId="79C7D8C0" w14:textId="77777777" w:rsidR="00F14A7B" w:rsidRPr="00434398" w:rsidRDefault="00F14A7B" w:rsidP="00F14A7B">
            <w:pPr>
              <w:overflowPunct/>
              <w:autoSpaceDE/>
              <w:autoSpaceDN/>
              <w:adjustRightInd/>
              <w:spacing w:after="0"/>
              <w:jc w:val="right"/>
              <w:textAlignment w:val="auto"/>
              <w:rPr>
                <w:rFonts w:asciiTheme="minorHAnsi" w:hAnsiTheme="minorHAnsi" w:cstheme="minorHAnsi"/>
                <w:color w:val="000000"/>
                <w:sz w:val="18"/>
                <w:szCs w:val="18"/>
                <w:highlight w:val="green"/>
                <w:lang w:val="en-US" w:eastAsia="en-US"/>
              </w:rPr>
            </w:pPr>
            <w:r w:rsidRPr="00434398">
              <w:rPr>
                <w:rFonts w:asciiTheme="minorHAnsi" w:hAnsiTheme="minorHAnsi" w:cstheme="minorHAnsi"/>
                <w:color w:val="000000"/>
                <w:sz w:val="18"/>
                <w:szCs w:val="18"/>
                <w:highlight w:val="green"/>
                <w:lang w:val="en-US" w:eastAsia="en-US"/>
              </w:rPr>
              <w:t>7.5</w:t>
            </w:r>
          </w:p>
        </w:tc>
      </w:tr>
      <w:tr w:rsidR="00F14A7B" w:rsidRPr="00F14A7B" w14:paraId="72ABF260" w14:textId="77777777" w:rsidTr="00434398">
        <w:trPr>
          <w:trHeight w:val="70"/>
          <w:jc w:val="center"/>
        </w:trPr>
        <w:tc>
          <w:tcPr>
            <w:tcW w:w="1019" w:type="dxa"/>
            <w:vMerge/>
            <w:tcBorders>
              <w:top w:val="nil"/>
              <w:left w:val="single" w:sz="4" w:space="0" w:color="auto"/>
              <w:bottom w:val="single" w:sz="4" w:space="0" w:color="auto"/>
              <w:right w:val="single" w:sz="4" w:space="0" w:color="auto"/>
            </w:tcBorders>
            <w:vAlign w:val="center"/>
            <w:hideMark/>
          </w:tcPr>
          <w:p w14:paraId="7C61525E" w14:textId="77777777" w:rsidR="00F14A7B" w:rsidRPr="00F14A7B" w:rsidRDefault="00F14A7B" w:rsidP="00F14A7B">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558" w:type="dxa"/>
            <w:tcBorders>
              <w:top w:val="nil"/>
              <w:left w:val="nil"/>
              <w:bottom w:val="single" w:sz="4" w:space="0" w:color="auto"/>
              <w:right w:val="single" w:sz="4" w:space="0" w:color="auto"/>
            </w:tcBorders>
            <w:shd w:val="clear" w:color="auto" w:fill="auto"/>
            <w:noWrap/>
            <w:vAlign w:val="bottom"/>
            <w:hideMark/>
          </w:tcPr>
          <w:p w14:paraId="3CA1DF3B" w14:textId="2910C754" w:rsidR="00F14A7B" w:rsidRPr="00F14A7B" w:rsidRDefault="00F14A7B" w:rsidP="00F14A7B">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Pr>
                <w:rFonts w:asciiTheme="minorHAnsi" w:hAnsiTheme="minorHAnsi" w:cstheme="minorHAnsi"/>
                <w:color w:val="000000"/>
                <w:sz w:val="18"/>
                <w:szCs w:val="18"/>
                <w:lang w:val="en-US" w:eastAsia="en-US"/>
              </w:rPr>
              <w:t>1/2</w:t>
            </w:r>
          </w:p>
        </w:tc>
        <w:tc>
          <w:tcPr>
            <w:tcW w:w="625" w:type="dxa"/>
            <w:tcBorders>
              <w:top w:val="nil"/>
              <w:left w:val="nil"/>
              <w:bottom w:val="single" w:sz="4" w:space="0" w:color="auto"/>
              <w:right w:val="single" w:sz="4" w:space="0" w:color="auto"/>
            </w:tcBorders>
            <w:shd w:val="clear" w:color="auto" w:fill="auto"/>
            <w:noWrap/>
            <w:vAlign w:val="bottom"/>
            <w:hideMark/>
          </w:tcPr>
          <w:p w14:paraId="28FDA763" w14:textId="77777777" w:rsidR="00F14A7B" w:rsidRPr="00F14A7B" w:rsidRDefault="00F14A7B" w:rsidP="00F14A7B">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F14A7B">
              <w:rPr>
                <w:rFonts w:asciiTheme="minorHAnsi" w:hAnsiTheme="minorHAnsi" w:cstheme="minorHAnsi"/>
                <w:color w:val="000000"/>
                <w:sz w:val="18"/>
                <w:szCs w:val="18"/>
                <w:lang w:val="en-US" w:eastAsia="en-US"/>
              </w:rPr>
              <w:t>6.5</w:t>
            </w:r>
          </w:p>
        </w:tc>
        <w:tc>
          <w:tcPr>
            <w:tcW w:w="625" w:type="dxa"/>
            <w:tcBorders>
              <w:top w:val="nil"/>
              <w:left w:val="nil"/>
              <w:bottom w:val="single" w:sz="4" w:space="0" w:color="auto"/>
              <w:right w:val="single" w:sz="4" w:space="0" w:color="auto"/>
            </w:tcBorders>
            <w:shd w:val="clear" w:color="auto" w:fill="auto"/>
            <w:noWrap/>
            <w:vAlign w:val="bottom"/>
            <w:hideMark/>
          </w:tcPr>
          <w:p w14:paraId="260B4959" w14:textId="77777777" w:rsidR="00F14A7B" w:rsidRPr="00F14A7B" w:rsidRDefault="00F14A7B" w:rsidP="00F14A7B">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F14A7B">
              <w:rPr>
                <w:rFonts w:asciiTheme="minorHAnsi" w:hAnsiTheme="minorHAnsi" w:cstheme="minorHAnsi"/>
                <w:color w:val="000000"/>
                <w:sz w:val="18"/>
                <w:szCs w:val="18"/>
                <w:lang w:val="en-US" w:eastAsia="en-US"/>
              </w:rPr>
              <w:t>7.5</w:t>
            </w:r>
          </w:p>
        </w:tc>
        <w:tc>
          <w:tcPr>
            <w:tcW w:w="625" w:type="dxa"/>
            <w:tcBorders>
              <w:top w:val="nil"/>
              <w:left w:val="nil"/>
              <w:bottom w:val="single" w:sz="4" w:space="0" w:color="auto"/>
              <w:right w:val="single" w:sz="4" w:space="0" w:color="auto"/>
            </w:tcBorders>
            <w:shd w:val="clear" w:color="auto" w:fill="auto"/>
            <w:noWrap/>
            <w:vAlign w:val="bottom"/>
            <w:hideMark/>
          </w:tcPr>
          <w:p w14:paraId="1A09A0A5" w14:textId="77777777" w:rsidR="00F14A7B" w:rsidRPr="00F14A7B" w:rsidRDefault="00F14A7B" w:rsidP="00F14A7B">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F14A7B">
              <w:rPr>
                <w:rFonts w:asciiTheme="minorHAnsi" w:hAnsiTheme="minorHAnsi" w:cstheme="minorHAnsi"/>
                <w:color w:val="000000"/>
                <w:sz w:val="18"/>
                <w:szCs w:val="18"/>
                <w:lang w:val="en-US" w:eastAsia="en-US"/>
              </w:rPr>
              <w:t>8.5</w:t>
            </w:r>
          </w:p>
        </w:tc>
        <w:tc>
          <w:tcPr>
            <w:tcW w:w="534" w:type="dxa"/>
            <w:tcBorders>
              <w:top w:val="nil"/>
              <w:left w:val="nil"/>
              <w:bottom w:val="single" w:sz="4" w:space="0" w:color="auto"/>
              <w:right w:val="single" w:sz="4" w:space="0" w:color="auto"/>
            </w:tcBorders>
            <w:shd w:val="clear" w:color="auto" w:fill="auto"/>
            <w:noWrap/>
            <w:vAlign w:val="bottom"/>
            <w:hideMark/>
          </w:tcPr>
          <w:p w14:paraId="7E648E17" w14:textId="77777777" w:rsidR="00F14A7B" w:rsidRPr="00434398" w:rsidRDefault="00F14A7B" w:rsidP="00F14A7B">
            <w:pPr>
              <w:overflowPunct/>
              <w:autoSpaceDE/>
              <w:autoSpaceDN/>
              <w:adjustRightInd/>
              <w:spacing w:after="0"/>
              <w:jc w:val="right"/>
              <w:textAlignment w:val="auto"/>
              <w:rPr>
                <w:rFonts w:asciiTheme="minorHAnsi" w:hAnsiTheme="minorHAnsi" w:cstheme="minorHAnsi"/>
                <w:color w:val="000000"/>
                <w:sz w:val="18"/>
                <w:szCs w:val="18"/>
                <w:highlight w:val="green"/>
                <w:lang w:val="en-US" w:eastAsia="en-US"/>
              </w:rPr>
            </w:pPr>
            <w:r w:rsidRPr="00434398">
              <w:rPr>
                <w:rFonts w:asciiTheme="minorHAnsi" w:hAnsiTheme="minorHAnsi" w:cstheme="minorHAnsi"/>
                <w:color w:val="000000"/>
                <w:sz w:val="18"/>
                <w:szCs w:val="18"/>
                <w:highlight w:val="green"/>
                <w:lang w:val="en-US" w:eastAsia="en-US"/>
              </w:rPr>
              <w:t>10</w:t>
            </w:r>
          </w:p>
        </w:tc>
      </w:tr>
    </w:tbl>
    <w:p w14:paraId="0B00B096" w14:textId="77777777" w:rsidR="00F14A7B" w:rsidRDefault="00F14A7B" w:rsidP="00F14A7B">
      <w:pPr>
        <w:spacing w:after="0"/>
        <w:rPr>
          <w:rFonts w:eastAsia="Arial"/>
          <w:b/>
          <w:bCs/>
          <w:lang w:eastAsia="zh-CN"/>
        </w:rPr>
      </w:pPr>
    </w:p>
    <w:p w14:paraId="6F709095" w14:textId="6AD5112C" w:rsidR="00F14A7B" w:rsidRPr="00F14A7B" w:rsidRDefault="00F14A7B" w:rsidP="00F14A7B">
      <w:pPr>
        <w:spacing w:after="0"/>
        <w:rPr>
          <w:rFonts w:eastAsia="Arial"/>
          <w:b/>
          <w:bCs/>
          <w:lang w:eastAsia="zh-CN"/>
        </w:rPr>
      </w:pPr>
      <w:r w:rsidRPr="00F14A7B">
        <w:rPr>
          <w:rFonts w:eastAsia="Arial"/>
          <w:b/>
          <w:bCs/>
          <w:lang w:eastAsia="zh-CN"/>
        </w:rPr>
        <w:t>Observation</w:t>
      </w:r>
      <w:r>
        <w:rPr>
          <w:rFonts w:eastAsia="Arial"/>
          <w:b/>
          <w:bCs/>
          <w:lang w:eastAsia="zh-CN"/>
        </w:rPr>
        <w:t>s</w:t>
      </w:r>
      <w:r w:rsidRPr="00F14A7B">
        <w:rPr>
          <w:rFonts w:eastAsia="Arial"/>
          <w:b/>
          <w:bCs/>
          <w:lang w:eastAsia="zh-CN"/>
        </w:rPr>
        <w:t xml:space="preserve">: </w:t>
      </w:r>
    </w:p>
    <w:p w14:paraId="3293E202" w14:textId="50EC8E32" w:rsidR="00020E97" w:rsidRDefault="00F14A7B" w:rsidP="00F14A7B">
      <w:pPr>
        <w:pStyle w:val="ListParagraph"/>
        <w:numPr>
          <w:ilvl w:val="0"/>
          <w:numId w:val="65"/>
        </w:numPr>
        <w:spacing w:after="0"/>
        <w:ind w:firstLineChars="0"/>
        <w:rPr>
          <w:rFonts w:eastAsia="Arial"/>
          <w:b/>
          <w:bCs/>
          <w:lang w:eastAsia="zh-CN"/>
        </w:rPr>
      </w:pPr>
      <w:r>
        <w:rPr>
          <w:rFonts w:eastAsia="Arial"/>
          <w:b/>
          <w:bCs/>
          <w:lang w:eastAsia="zh-CN"/>
        </w:rPr>
        <w:t>I</w:t>
      </w:r>
      <w:r w:rsidRPr="00F14A7B">
        <w:rPr>
          <w:rFonts w:eastAsia="Arial"/>
          <w:b/>
          <w:bCs/>
          <w:lang w:eastAsia="zh-CN"/>
        </w:rPr>
        <w:t>t is only possib</w:t>
      </w:r>
      <w:r>
        <w:rPr>
          <w:rFonts w:eastAsia="Arial"/>
          <w:b/>
          <w:bCs/>
          <w:lang w:eastAsia="zh-CN"/>
        </w:rPr>
        <w:t xml:space="preserve">le to meet the 250% criteria for </w:t>
      </w:r>
      <w:r w:rsidR="00434398">
        <w:rPr>
          <w:rFonts w:eastAsia="Arial"/>
          <w:b/>
          <w:bCs/>
          <w:lang w:eastAsia="zh-CN"/>
        </w:rPr>
        <w:t xml:space="preserve">½ and ¼ extensions at </w:t>
      </w:r>
      <w:r w:rsidRPr="00F14A7B">
        <w:rPr>
          <w:rFonts w:eastAsia="Arial"/>
          <w:b/>
          <w:bCs/>
          <w:lang w:eastAsia="zh-CN"/>
        </w:rPr>
        <w:t>CBW ≥</w:t>
      </w:r>
      <w:r>
        <w:rPr>
          <w:rFonts w:eastAsia="Arial"/>
          <w:b/>
          <w:bCs/>
          <w:lang w:eastAsia="zh-CN"/>
        </w:rPr>
        <w:t xml:space="preserve"> 10MHz</w:t>
      </w:r>
    </w:p>
    <w:p w14:paraId="205AE6C9" w14:textId="77777777" w:rsidR="00434398" w:rsidRDefault="00434398" w:rsidP="00F14A7B">
      <w:pPr>
        <w:pStyle w:val="ListParagraph"/>
        <w:numPr>
          <w:ilvl w:val="0"/>
          <w:numId w:val="65"/>
        </w:numPr>
        <w:spacing w:after="0"/>
        <w:ind w:firstLineChars="0"/>
        <w:rPr>
          <w:rFonts w:eastAsia="Arial"/>
          <w:b/>
          <w:bCs/>
          <w:lang w:eastAsia="zh-CN"/>
        </w:rPr>
      </w:pPr>
      <w:r>
        <w:rPr>
          <w:rFonts w:eastAsia="Arial"/>
          <w:b/>
          <w:bCs/>
          <w:lang w:eastAsia="zh-CN"/>
        </w:rPr>
        <w:t xml:space="preserve">For 7MHz it is only possible to meet the 250% criteria for ¼ extensions </w:t>
      </w:r>
    </w:p>
    <w:p w14:paraId="11E4A87A" w14:textId="2485923D" w:rsidR="00434398" w:rsidRPr="00F14A7B" w:rsidRDefault="00434398" w:rsidP="00F14A7B">
      <w:pPr>
        <w:pStyle w:val="ListParagraph"/>
        <w:numPr>
          <w:ilvl w:val="0"/>
          <w:numId w:val="65"/>
        </w:numPr>
        <w:spacing w:after="0"/>
        <w:ind w:firstLineChars="0"/>
        <w:rPr>
          <w:rFonts w:eastAsia="Arial"/>
          <w:b/>
          <w:bCs/>
          <w:lang w:eastAsia="zh-CN"/>
        </w:rPr>
      </w:pPr>
      <w:r>
        <w:rPr>
          <w:rFonts w:eastAsia="Arial"/>
          <w:b/>
          <w:bCs/>
          <w:lang w:eastAsia="zh-CN"/>
        </w:rPr>
        <w:t>It should be noted that the new 6MHz CBW does meet the criteria for both ¼ and ½ extensions like 3MHz and 5MHz.</w:t>
      </w:r>
    </w:p>
    <w:p w14:paraId="59C2DF75" w14:textId="609497AA" w:rsidR="00F14A7B" w:rsidRDefault="00F14A7B" w:rsidP="00F14A7B">
      <w:pPr>
        <w:pStyle w:val="ListParagraph"/>
        <w:numPr>
          <w:ilvl w:val="0"/>
          <w:numId w:val="65"/>
        </w:numPr>
        <w:spacing w:after="0"/>
        <w:ind w:firstLineChars="0"/>
        <w:rPr>
          <w:rFonts w:eastAsia="Arial"/>
          <w:b/>
          <w:bCs/>
          <w:lang w:eastAsia="zh-CN"/>
        </w:rPr>
      </w:pPr>
      <w:r>
        <w:rPr>
          <w:rFonts w:eastAsia="Arial"/>
          <w:b/>
          <w:bCs/>
          <w:lang w:eastAsia="zh-CN"/>
        </w:rPr>
        <w:t>It is safe to remove 3MHz and 7MHz as the CBW have been created to fit a specific operator spectrum thus they are unlikely to be extended.</w:t>
      </w:r>
    </w:p>
    <w:p w14:paraId="52C03523" w14:textId="19844E94" w:rsidR="00F14A7B" w:rsidRPr="00F14A7B" w:rsidRDefault="00F14A7B" w:rsidP="00F14A7B">
      <w:pPr>
        <w:pStyle w:val="ListParagraph"/>
        <w:numPr>
          <w:ilvl w:val="0"/>
          <w:numId w:val="65"/>
        </w:numPr>
        <w:spacing w:after="0"/>
        <w:ind w:firstLineChars="0"/>
        <w:rPr>
          <w:rFonts w:eastAsia="Arial"/>
          <w:b/>
          <w:bCs/>
          <w:lang w:eastAsia="zh-CN"/>
        </w:rPr>
      </w:pPr>
      <w:r>
        <w:rPr>
          <w:rFonts w:eastAsia="Arial"/>
          <w:b/>
          <w:bCs/>
          <w:lang w:eastAsia="zh-CN"/>
        </w:rPr>
        <w:t xml:space="preserve">However, it is still possible that at least the 5MHz CBW would meet the criteria </w:t>
      </w:r>
      <w:r w:rsidR="00521684">
        <w:rPr>
          <w:rFonts w:eastAsia="Arial"/>
          <w:b/>
          <w:bCs/>
          <w:lang w:eastAsia="zh-CN"/>
        </w:rPr>
        <w:t xml:space="preserve">as the SEM at least guaranties -25dBm/MHz and our measurements do not show that this is the limiting </w:t>
      </w:r>
      <w:r w:rsidR="00DF4D07">
        <w:rPr>
          <w:rFonts w:eastAsia="Arial"/>
          <w:b/>
          <w:bCs/>
          <w:lang w:eastAsia="zh-CN"/>
        </w:rPr>
        <w:t xml:space="preserve">factor for the </w:t>
      </w:r>
      <w:r w:rsidR="00521684">
        <w:rPr>
          <w:rFonts w:eastAsia="Arial"/>
          <w:b/>
          <w:bCs/>
          <w:lang w:eastAsia="zh-CN"/>
        </w:rPr>
        <w:t>SEM. In any case, a</w:t>
      </w:r>
      <w:r>
        <w:rPr>
          <w:rFonts w:eastAsia="Arial"/>
          <w:b/>
          <w:bCs/>
          <w:lang w:eastAsia="zh-CN"/>
        </w:rPr>
        <w:t xml:space="preserve"> specific test could be added to verify this.</w:t>
      </w:r>
    </w:p>
    <w:p w14:paraId="1396BC21" w14:textId="77777777" w:rsidR="00DA4ADB" w:rsidRDefault="00DA4ADB" w:rsidP="009C0DE7">
      <w:pPr>
        <w:spacing w:after="0"/>
        <w:rPr>
          <w:rFonts w:eastAsia="Arial"/>
          <w:b/>
          <w:bCs/>
          <w:lang w:eastAsia="zh-CN"/>
        </w:rPr>
      </w:pPr>
    </w:p>
    <w:p w14:paraId="1EAD81FA" w14:textId="0A815668" w:rsidR="00F14A7B" w:rsidRPr="00F14A7B" w:rsidRDefault="00F14A7B" w:rsidP="00F14A7B">
      <w:pPr>
        <w:spacing w:after="0"/>
        <w:rPr>
          <w:rFonts w:eastAsia="Arial"/>
          <w:b/>
          <w:bCs/>
          <w:lang w:eastAsia="zh-CN"/>
        </w:rPr>
      </w:pPr>
      <w:r>
        <w:rPr>
          <w:rFonts w:eastAsia="Arial"/>
          <w:b/>
          <w:bCs/>
          <w:lang w:eastAsia="zh-CN"/>
        </w:rPr>
        <w:t>Proposal on min CBW</w:t>
      </w:r>
      <w:r w:rsidRPr="00F14A7B">
        <w:rPr>
          <w:rFonts w:eastAsia="Arial"/>
          <w:b/>
          <w:bCs/>
          <w:lang w:eastAsia="zh-CN"/>
        </w:rPr>
        <w:t xml:space="preserve">: </w:t>
      </w:r>
    </w:p>
    <w:p w14:paraId="0160117E" w14:textId="714E4B32" w:rsidR="00F14A7B" w:rsidRPr="00F14A7B" w:rsidRDefault="00521684" w:rsidP="00521684">
      <w:pPr>
        <w:pStyle w:val="ListParagraph"/>
        <w:numPr>
          <w:ilvl w:val="0"/>
          <w:numId w:val="65"/>
        </w:numPr>
        <w:spacing w:after="0"/>
        <w:ind w:firstLineChars="0"/>
        <w:rPr>
          <w:rFonts w:eastAsia="Arial"/>
          <w:b/>
          <w:bCs/>
          <w:lang w:eastAsia="zh-CN"/>
        </w:rPr>
      </w:pPr>
      <w:r>
        <w:rPr>
          <w:rFonts w:eastAsia="Arial"/>
          <w:b/>
          <w:bCs/>
          <w:lang w:eastAsia="zh-CN"/>
        </w:rPr>
        <w:t>On top of 3MHz, 7MHz is excluded f</w:t>
      </w:r>
      <w:r w:rsidR="00257AC3">
        <w:rPr>
          <w:rFonts w:eastAsia="Arial"/>
          <w:b/>
          <w:bCs/>
          <w:lang w:eastAsia="zh-CN"/>
        </w:rPr>
        <w:t>ro</w:t>
      </w:r>
      <w:r>
        <w:rPr>
          <w:rFonts w:eastAsia="Arial"/>
          <w:b/>
          <w:bCs/>
          <w:lang w:eastAsia="zh-CN"/>
        </w:rPr>
        <w:t>m the RB/BW extension framework. 38.101-1 clause 6.2.2 is modified to exclude 7MHz CBW</w:t>
      </w:r>
    </w:p>
    <w:p w14:paraId="79C1E650" w14:textId="7A1FA87F" w:rsidR="00F14A7B" w:rsidRPr="00521684" w:rsidRDefault="00521684" w:rsidP="009C0DE7">
      <w:pPr>
        <w:pStyle w:val="ListParagraph"/>
        <w:numPr>
          <w:ilvl w:val="0"/>
          <w:numId w:val="65"/>
        </w:numPr>
        <w:spacing w:after="0"/>
        <w:ind w:firstLineChars="0"/>
        <w:rPr>
          <w:rFonts w:eastAsia="Arial"/>
          <w:b/>
          <w:bCs/>
          <w:lang w:eastAsia="zh-CN"/>
        </w:rPr>
      </w:pPr>
      <w:r>
        <w:rPr>
          <w:rFonts w:eastAsia="Arial"/>
          <w:b/>
          <w:bCs/>
          <w:lang w:eastAsia="zh-CN"/>
        </w:rPr>
        <w:t>Further checks for the 250% BW criteria can be performed for 5MHz CBW and if necessary additional test</w:t>
      </w:r>
      <w:r w:rsidR="00DF4D07">
        <w:rPr>
          <w:rFonts w:eastAsia="Arial"/>
          <w:b/>
          <w:bCs/>
          <w:lang w:eastAsia="zh-CN"/>
        </w:rPr>
        <w:t>ing</w:t>
      </w:r>
      <w:r>
        <w:rPr>
          <w:rFonts w:eastAsia="Arial"/>
          <w:b/>
          <w:bCs/>
          <w:lang w:eastAsia="zh-CN"/>
        </w:rPr>
        <w:t xml:space="preserve"> can be </w:t>
      </w:r>
      <w:r w:rsidR="00DF4D07">
        <w:rPr>
          <w:rFonts w:eastAsia="Arial"/>
          <w:b/>
          <w:bCs/>
          <w:lang w:eastAsia="zh-CN"/>
        </w:rPr>
        <w:t>performed</w:t>
      </w:r>
      <w:r>
        <w:rPr>
          <w:rFonts w:eastAsia="Arial"/>
          <w:b/>
          <w:bCs/>
          <w:lang w:eastAsia="zh-CN"/>
        </w:rPr>
        <w:t xml:space="preserve"> for this CBW.</w:t>
      </w:r>
    </w:p>
    <w:p w14:paraId="3A1423CF" w14:textId="5DD5410B" w:rsidR="006C0252" w:rsidRPr="00343AA7" w:rsidRDefault="006C0252" w:rsidP="00476DF4">
      <w:pPr>
        <w:pStyle w:val="Heading1"/>
        <w:numPr>
          <w:ilvl w:val="0"/>
          <w:numId w:val="1"/>
        </w:numPr>
        <w:ind w:left="567" w:hanging="567"/>
      </w:pPr>
      <w:r>
        <w:t>Conclusion</w:t>
      </w:r>
    </w:p>
    <w:p w14:paraId="78DA50E5" w14:textId="134D0423" w:rsidR="00575A59" w:rsidRDefault="006C0252" w:rsidP="00CB68D4">
      <w:r w:rsidRPr="0018029D">
        <w:t>In</w:t>
      </w:r>
      <w:r w:rsidR="00A42874" w:rsidRPr="0018029D">
        <w:t xml:space="preserve"> this contribution, </w:t>
      </w:r>
      <w:r w:rsidR="0001376B">
        <w:t xml:space="preserve">we </w:t>
      </w:r>
      <w:r w:rsidR="00521684">
        <w:t>verified that</w:t>
      </w:r>
      <w:r w:rsidR="008C0848">
        <w:t xml:space="preserve"> the principles of extension ratios </w:t>
      </w:r>
      <w:r w:rsidR="00521684">
        <w:t>also appl</w:t>
      </w:r>
      <w:r w:rsidR="00FC0BC2">
        <w:t>y</w:t>
      </w:r>
      <w:r w:rsidR="00521684">
        <w:t xml:space="preserve"> to 2Tx PC2 and 2Tx PC1.5 </w:t>
      </w:r>
      <w:proofErr w:type="gramStart"/>
      <w:r w:rsidR="00521684">
        <w:t>and also</w:t>
      </w:r>
      <w:proofErr w:type="gramEnd"/>
      <w:r w:rsidR="00521684">
        <w:t xml:space="preserve"> evaluated the feasibility to enable R18 power boosting.</w:t>
      </w:r>
    </w:p>
    <w:p w14:paraId="44EBFE0E" w14:textId="77777777" w:rsidR="00521684" w:rsidRDefault="00521684" w:rsidP="00521684">
      <w:pPr>
        <w:spacing w:after="0"/>
        <w:rPr>
          <w:rFonts w:eastAsia="Arial"/>
          <w:b/>
          <w:bCs/>
          <w:lang w:eastAsia="zh-CN"/>
        </w:rPr>
      </w:pPr>
      <w:r>
        <w:rPr>
          <w:rFonts w:eastAsia="Arial"/>
          <w:b/>
          <w:bCs/>
          <w:lang w:eastAsia="zh-CN"/>
        </w:rPr>
        <w:t xml:space="preserve">Proposal on modification to enable PC2 and PC1.5 2Tx: </w:t>
      </w:r>
    </w:p>
    <w:p w14:paraId="2C7E437E" w14:textId="77777777" w:rsidR="00521684" w:rsidRDefault="00521684" w:rsidP="00521684">
      <w:pPr>
        <w:pStyle w:val="ListParagraph"/>
        <w:numPr>
          <w:ilvl w:val="0"/>
          <w:numId w:val="65"/>
        </w:numPr>
        <w:spacing w:after="0"/>
        <w:ind w:firstLineChars="0"/>
        <w:rPr>
          <w:rFonts w:eastAsia="Arial"/>
          <w:b/>
          <w:bCs/>
          <w:lang w:eastAsia="zh-CN"/>
        </w:rPr>
      </w:pPr>
      <w:r>
        <w:rPr>
          <w:rFonts w:eastAsia="Arial"/>
          <w:b/>
          <w:bCs/>
          <w:lang w:eastAsia="zh-CN"/>
        </w:rPr>
        <w:t xml:space="preserve">RB/BW extension framework should be enabled for PC2 2Tx and </w:t>
      </w:r>
      <w:r w:rsidRPr="009C0DE7">
        <w:rPr>
          <w:rFonts w:eastAsia="Arial"/>
          <w:b/>
          <w:bCs/>
          <w:lang w:eastAsia="zh-CN"/>
        </w:rPr>
        <w:t xml:space="preserve">PC1.5 </w:t>
      </w:r>
      <w:r>
        <w:rPr>
          <w:rFonts w:eastAsia="Arial"/>
          <w:b/>
          <w:bCs/>
          <w:lang w:eastAsia="zh-CN"/>
        </w:rPr>
        <w:t>2Tx:</w:t>
      </w:r>
    </w:p>
    <w:p w14:paraId="02EFFB8A" w14:textId="56870FA3" w:rsidR="00521684" w:rsidRDefault="00521684" w:rsidP="00521684">
      <w:pPr>
        <w:pStyle w:val="ListParagraph"/>
        <w:numPr>
          <w:ilvl w:val="1"/>
          <w:numId w:val="65"/>
        </w:numPr>
        <w:spacing w:after="0"/>
        <w:ind w:firstLineChars="0"/>
        <w:rPr>
          <w:rFonts w:eastAsia="Arial"/>
          <w:b/>
          <w:bCs/>
          <w:lang w:eastAsia="zh-CN"/>
        </w:rPr>
      </w:pPr>
      <w:r>
        <w:rPr>
          <w:rFonts w:eastAsia="Arial"/>
          <w:b/>
          <w:bCs/>
          <w:lang w:eastAsia="zh-CN"/>
        </w:rPr>
        <w:t xml:space="preserve">PC3 and PC2 restriction highlighted in yellow below in following 38.101-1 clause 6.2.2 is modified to include PC1.5 and 1Tx/2Tx as highlighted in </w:t>
      </w:r>
      <w:r w:rsidRPr="00020E97">
        <w:rPr>
          <w:rFonts w:eastAsia="Arial"/>
          <w:b/>
          <w:bCs/>
          <w:highlight w:val="yellow"/>
          <w:lang w:eastAsia="zh-CN"/>
        </w:rPr>
        <w:t>yellow</w:t>
      </w:r>
      <w:r>
        <w:rPr>
          <w:rFonts w:eastAsia="Arial"/>
          <w:b/>
          <w:bCs/>
          <w:lang w:eastAsia="zh-CN"/>
        </w:rPr>
        <w:t xml:space="preserve"> below</w:t>
      </w:r>
      <w:r w:rsidR="00434398">
        <w:rPr>
          <w:rFonts w:eastAsia="Arial"/>
          <w:b/>
          <w:bCs/>
          <w:lang w:eastAsia="zh-CN"/>
        </w:rPr>
        <w:t>:</w:t>
      </w:r>
      <w:r>
        <w:rPr>
          <w:rFonts w:eastAsia="Arial"/>
          <w:b/>
          <w:bCs/>
          <w:lang w:eastAsia="zh-CN"/>
        </w:rPr>
        <w:t xml:space="preserve"> </w:t>
      </w:r>
    </w:p>
    <w:p w14:paraId="4B918A8A" w14:textId="77777777" w:rsidR="00521684" w:rsidRDefault="00521684" w:rsidP="00521684">
      <w:pPr>
        <w:ind w:left="450"/>
      </w:pPr>
      <w:r>
        <w:t xml:space="preserve">If </w:t>
      </w:r>
      <w:proofErr w:type="gramStart"/>
      <w:r>
        <w:t>all of</w:t>
      </w:r>
      <w:proofErr w:type="gramEnd"/>
      <w:r>
        <w:t xml:space="preserve"> the following conditions are simultaneously met:</w:t>
      </w:r>
    </w:p>
    <w:p w14:paraId="297CACD3" w14:textId="77777777" w:rsidR="00521684" w:rsidRDefault="00521684" w:rsidP="00521684">
      <w:pPr>
        <w:ind w:left="450"/>
      </w:pPr>
      <w:r>
        <w:t>-</w:t>
      </w:r>
      <w:r>
        <w:tab/>
        <w:t xml:space="preserve">The UE is </w:t>
      </w:r>
      <w:r w:rsidRPr="00020E97">
        <w:t xml:space="preserve">a </w:t>
      </w:r>
      <w:r w:rsidRPr="00020E97">
        <w:rPr>
          <w:strike/>
          <w:highlight w:val="yellow"/>
        </w:rPr>
        <w:t>PC3 or PC2</w:t>
      </w:r>
      <w:r w:rsidRPr="00020E97">
        <w:t xml:space="preserve"> </w:t>
      </w:r>
      <w:r w:rsidRPr="00020E97">
        <w:rPr>
          <w:highlight w:val="yellow"/>
        </w:rPr>
        <w:t>PC3, PC2 or PC1.5</w:t>
      </w:r>
      <w:r>
        <w:t xml:space="preserve"> </w:t>
      </w:r>
      <w:r w:rsidRPr="00020E97">
        <w:t>UE</w:t>
      </w:r>
      <w:r>
        <w:t xml:space="preserve"> </w:t>
      </w:r>
      <w:r w:rsidRPr="00020E97">
        <w:rPr>
          <w:highlight w:val="yellow"/>
        </w:rPr>
        <w:t>supporting 1Tx or 2Tx</w:t>
      </w:r>
      <w:r>
        <w:t xml:space="preserve"> operating in any channel bandwidth except 3MHz </w:t>
      </w:r>
    </w:p>
    <w:p w14:paraId="2EFED938" w14:textId="77777777" w:rsidR="00521684" w:rsidRDefault="00521684" w:rsidP="00521684">
      <w:pPr>
        <w:ind w:left="450"/>
      </w:pPr>
      <w:r>
        <w:t>-</w:t>
      </w:r>
      <w:r>
        <w:tab/>
        <w:t xml:space="preserve">The UE indicates support for </w:t>
      </w:r>
      <w:r w:rsidRPr="00020E97">
        <w:rPr>
          <w:i/>
        </w:rPr>
        <w:t>MPR reduction for single carrier with single value</w:t>
      </w:r>
      <w:r w:rsidRPr="00020E97">
        <w:rPr>
          <w:iCs/>
        </w:rPr>
        <w:t xml:space="preserve"> </w:t>
      </w:r>
      <w:r>
        <w:t xml:space="preserve">or </w:t>
      </w:r>
      <w:r w:rsidRPr="00020E97">
        <w:rPr>
          <w:i/>
        </w:rPr>
        <w:t>MPR reduction for single carrier with multiple values</w:t>
      </w:r>
      <w:r>
        <w:t xml:space="preserve">, and is configured with the IE </w:t>
      </w:r>
      <w:r w:rsidRPr="00020E97">
        <w:rPr>
          <w:i/>
        </w:rPr>
        <w:t>Extension UE-Rel19</w:t>
      </w:r>
    </w:p>
    <w:p w14:paraId="01E00686" w14:textId="77777777" w:rsidR="00521684" w:rsidRDefault="00521684" w:rsidP="00521684">
      <w:pPr>
        <w:ind w:left="450"/>
      </w:pPr>
      <w:r>
        <w:t>-</w:t>
      </w:r>
      <w:r>
        <w:tab/>
        <w:t xml:space="preserve">The uplink modulation order is either QPSK or 16QAM </w:t>
      </w:r>
    </w:p>
    <w:p w14:paraId="0A66F99B" w14:textId="77777777" w:rsidR="00521684" w:rsidRDefault="00521684" w:rsidP="00521684">
      <w:pPr>
        <w:ind w:left="450"/>
      </w:pPr>
      <w:r>
        <w:t>-</w:t>
      </w:r>
      <w:r>
        <w:tab/>
        <w:t>When no A-MPR is applicable</w:t>
      </w:r>
    </w:p>
    <w:p w14:paraId="2B826842" w14:textId="77777777" w:rsidR="00521684" w:rsidRDefault="00521684" w:rsidP="00521684">
      <w:pPr>
        <w:pStyle w:val="ListParagraph"/>
        <w:numPr>
          <w:ilvl w:val="1"/>
          <w:numId w:val="65"/>
        </w:numPr>
        <w:spacing w:after="0"/>
        <w:ind w:firstLineChars="0"/>
        <w:rPr>
          <w:rFonts w:eastAsia="Arial"/>
          <w:b/>
          <w:bCs/>
          <w:lang w:eastAsia="zh-CN"/>
        </w:rPr>
      </w:pPr>
      <w:r>
        <w:rPr>
          <w:rFonts w:eastAsia="Arial"/>
          <w:b/>
          <w:bCs/>
          <w:lang w:eastAsia="zh-CN"/>
        </w:rPr>
        <w:t xml:space="preserve">38.101-1 clause 6.2D.2 text below </w:t>
      </w:r>
      <w:r w:rsidRPr="00020E97">
        <w:rPr>
          <w:rFonts w:eastAsia="Arial"/>
          <w:b/>
          <w:bCs/>
          <w:lang w:eastAsia="zh-CN"/>
        </w:rPr>
        <w:t>Table 6.2D.2-5</w:t>
      </w:r>
      <w:r>
        <w:rPr>
          <w:rFonts w:eastAsia="Arial"/>
          <w:b/>
          <w:bCs/>
          <w:lang w:eastAsia="zh-CN"/>
        </w:rPr>
        <w:t xml:space="preserve"> is modified for PC1.5 edge allocation as highlighted in </w:t>
      </w:r>
      <w:r w:rsidRPr="00020E97">
        <w:rPr>
          <w:rFonts w:eastAsia="Arial"/>
          <w:b/>
          <w:bCs/>
          <w:highlight w:val="yellow"/>
          <w:lang w:eastAsia="zh-CN"/>
        </w:rPr>
        <w:t>yellow</w:t>
      </w:r>
      <w:r>
        <w:rPr>
          <w:rFonts w:eastAsia="Arial"/>
          <w:b/>
          <w:bCs/>
          <w:lang w:eastAsia="zh-CN"/>
        </w:rPr>
        <w:t xml:space="preserve"> below.</w:t>
      </w:r>
    </w:p>
    <w:p w14:paraId="44E6783F" w14:textId="77777777" w:rsidR="00521684" w:rsidRDefault="00521684" w:rsidP="00521684">
      <w:r w:rsidRPr="001D0283">
        <w:t>Inner, outer and edge allocations are as defined in section 6.2.2 except for PC1.5 edge allocations which is for L</w:t>
      </w:r>
      <w:r w:rsidRPr="00020E97">
        <w:rPr>
          <w:vertAlign w:val="subscript"/>
        </w:rPr>
        <w:t>CRB</w:t>
      </w:r>
      <w:r w:rsidRPr="001D0283">
        <w:t xml:space="preserve"> ≤ 4 RBs instead of L</w:t>
      </w:r>
      <w:r w:rsidRPr="00020E97">
        <w:rPr>
          <w:vertAlign w:val="subscript"/>
        </w:rPr>
        <w:t>CRB</w:t>
      </w:r>
      <w:r w:rsidRPr="001D0283">
        <w:t xml:space="preserve"> ≤ 2 RBs for other power classes.</w:t>
      </w:r>
    </w:p>
    <w:p w14:paraId="589FD008" w14:textId="77777777" w:rsidR="00521684" w:rsidRDefault="00521684" w:rsidP="00521684">
      <w:r w:rsidRPr="00020E97">
        <w:rPr>
          <w:highlight w:val="yellow"/>
        </w:rPr>
        <w:t xml:space="preserve">When a UE indicates support for </w:t>
      </w:r>
      <w:r w:rsidRPr="00020E97">
        <w:rPr>
          <w:i/>
          <w:highlight w:val="yellow"/>
        </w:rPr>
        <w:t>MPR reduction for single carrier with single value</w:t>
      </w:r>
      <w:r w:rsidRPr="00020E97">
        <w:rPr>
          <w:iCs/>
          <w:highlight w:val="yellow"/>
        </w:rPr>
        <w:t xml:space="preserve"> </w:t>
      </w:r>
      <w:r w:rsidRPr="00020E97">
        <w:rPr>
          <w:highlight w:val="yellow"/>
        </w:rPr>
        <w:t xml:space="preserve">or </w:t>
      </w:r>
      <w:r w:rsidRPr="00020E97">
        <w:rPr>
          <w:i/>
          <w:highlight w:val="yellow"/>
        </w:rPr>
        <w:t>MPR reduction for single carrier with multiple values</w:t>
      </w:r>
      <w:r w:rsidRPr="00020E97">
        <w:rPr>
          <w:highlight w:val="yellow"/>
        </w:rPr>
        <w:t xml:space="preserve">, and is configured with the IE </w:t>
      </w:r>
      <w:r w:rsidRPr="00020E97">
        <w:rPr>
          <w:i/>
          <w:highlight w:val="yellow"/>
        </w:rPr>
        <w:t xml:space="preserve">Extension UE-Rel19, </w:t>
      </w:r>
      <w:r w:rsidRPr="00020E97">
        <w:rPr>
          <w:highlight w:val="yellow"/>
        </w:rPr>
        <w:t>an Edge RB allocation is the one for which the RB(s) is (are) allocated at the lowermost edge of the channel L</w:t>
      </w:r>
      <w:r w:rsidRPr="00020E97">
        <w:rPr>
          <w:highlight w:val="yellow"/>
          <w:vertAlign w:val="subscript"/>
        </w:rPr>
        <w:t>CRB</w:t>
      </w:r>
      <w:r w:rsidRPr="00020E97">
        <w:rPr>
          <w:highlight w:val="yellow"/>
        </w:rPr>
        <w:t xml:space="preserve"> ≤ 4 RBs with </w:t>
      </w:r>
      <w:r w:rsidRPr="00020E97">
        <w:rPr>
          <w:highlight w:val="yellow"/>
          <w:lang w:val="en-US" w:eastAsia="zh-CN"/>
        </w:rPr>
        <w:t>R</w:t>
      </w:r>
      <w:proofErr w:type="spellStart"/>
      <w:r w:rsidRPr="00020E97">
        <w:rPr>
          <w:highlight w:val="yellow"/>
          <w:vertAlign w:val="subscript"/>
          <w:lang w:eastAsia="zh-CN"/>
        </w:rPr>
        <w:t>ext_low</w:t>
      </w:r>
      <w:proofErr w:type="spellEnd"/>
      <w:r w:rsidRPr="00020E97">
        <w:rPr>
          <w:highlight w:val="yellow"/>
        </w:rPr>
        <w:t xml:space="preserve"> = 0, or </w:t>
      </w:r>
      <w:r w:rsidRPr="00020E97">
        <w:rPr>
          <w:highlight w:val="yellow"/>
          <w:lang w:eastAsia="zh-CN"/>
        </w:rPr>
        <w:t xml:space="preserve">the </w:t>
      </w:r>
      <w:r w:rsidRPr="00020E97">
        <w:rPr>
          <w:highlight w:val="yellow"/>
        </w:rPr>
        <w:t>one for which the RB</w:t>
      </w:r>
      <w:r w:rsidRPr="00020E97">
        <w:rPr>
          <w:highlight w:val="yellow"/>
          <w:lang w:eastAsia="zh-CN"/>
        </w:rPr>
        <w:t>(</w:t>
      </w:r>
      <w:r w:rsidRPr="00020E97">
        <w:rPr>
          <w:highlight w:val="yellow"/>
        </w:rPr>
        <w:t>s</w:t>
      </w:r>
      <w:r w:rsidRPr="00020E97">
        <w:rPr>
          <w:highlight w:val="yellow"/>
          <w:lang w:eastAsia="zh-CN"/>
        </w:rPr>
        <w:t>)</w:t>
      </w:r>
      <w:r w:rsidRPr="00020E97">
        <w:rPr>
          <w:highlight w:val="yellow"/>
        </w:rPr>
        <w:t xml:space="preserve"> </w:t>
      </w:r>
      <w:r w:rsidRPr="00020E97">
        <w:rPr>
          <w:highlight w:val="yellow"/>
          <w:lang w:eastAsia="zh-CN"/>
        </w:rPr>
        <w:t>is (</w:t>
      </w:r>
      <w:r w:rsidRPr="00020E97">
        <w:rPr>
          <w:highlight w:val="yellow"/>
        </w:rPr>
        <w:t>are</w:t>
      </w:r>
      <w:r w:rsidRPr="00020E97">
        <w:rPr>
          <w:highlight w:val="yellow"/>
          <w:lang w:eastAsia="zh-CN"/>
        </w:rPr>
        <w:t>)</w:t>
      </w:r>
      <w:r w:rsidRPr="00020E97">
        <w:rPr>
          <w:highlight w:val="yellow"/>
        </w:rPr>
        <w:t xml:space="preserve"> allocated at the uppermost edge of the channel L</w:t>
      </w:r>
      <w:r w:rsidRPr="00020E97">
        <w:rPr>
          <w:highlight w:val="yellow"/>
          <w:vertAlign w:val="subscript"/>
        </w:rPr>
        <w:t>CRB</w:t>
      </w:r>
      <w:r w:rsidRPr="00020E97">
        <w:rPr>
          <w:highlight w:val="yellow"/>
        </w:rPr>
        <w:t xml:space="preserve"> ≤ 4 RBs with </w:t>
      </w:r>
      <w:r w:rsidRPr="00020E97">
        <w:rPr>
          <w:highlight w:val="yellow"/>
          <w:lang w:val="en-US" w:eastAsia="zh-CN"/>
        </w:rPr>
        <w:t>R</w:t>
      </w:r>
      <w:proofErr w:type="spellStart"/>
      <w:r w:rsidRPr="00020E97">
        <w:rPr>
          <w:highlight w:val="yellow"/>
          <w:vertAlign w:val="subscript"/>
          <w:lang w:eastAsia="zh-CN"/>
        </w:rPr>
        <w:t>ext_high</w:t>
      </w:r>
      <w:proofErr w:type="spellEnd"/>
      <w:r w:rsidRPr="00020E97">
        <w:rPr>
          <w:highlight w:val="yellow"/>
          <w:vertAlign w:val="subscript"/>
        </w:rPr>
        <w:t xml:space="preserve"> </w:t>
      </w:r>
      <w:r w:rsidRPr="00020E97">
        <w:rPr>
          <w:highlight w:val="yellow"/>
        </w:rPr>
        <w:t>= 0.</w:t>
      </w:r>
    </w:p>
    <w:p w14:paraId="20F2F679" w14:textId="6B2A1F6E" w:rsidR="00257AC3" w:rsidRDefault="00257AC3" w:rsidP="00257AC3">
      <w:pPr>
        <w:spacing w:after="0"/>
        <w:rPr>
          <w:rFonts w:eastAsia="Arial"/>
          <w:b/>
          <w:bCs/>
          <w:lang w:eastAsia="zh-CN"/>
        </w:rPr>
      </w:pPr>
      <w:r>
        <w:rPr>
          <w:rFonts w:eastAsia="Arial"/>
          <w:b/>
          <w:bCs/>
          <w:lang w:eastAsia="zh-CN"/>
        </w:rPr>
        <w:t>Proposal on enabling R18 power boosting: Although our data shows margin for new inners to enable boosting, further verification is needed for the few PC3 and PC2 cases with less than 3dB and 1.5dB margin respectively.</w:t>
      </w:r>
    </w:p>
    <w:p w14:paraId="41EB8A4B" w14:textId="77777777" w:rsidR="00521684" w:rsidRDefault="00521684" w:rsidP="00521684">
      <w:pPr>
        <w:spacing w:after="0"/>
      </w:pPr>
    </w:p>
    <w:p w14:paraId="57663E0E" w14:textId="77777777" w:rsidR="00521684" w:rsidRPr="00F14A7B" w:rsidRDefault="00521684" w:rsidP="00521684">
      <w:pPr>
        <w:spacing w:after="0"/>
        <w:rPr>
          <w:rFonts w:eastAsia="Arial"/>
          <w:b/>
          <w:bCs/>
          <w:lang w:eastAsia="zh-CN"/>
        </w:rPr>
      </w:pPr>
      <w:r>
        <w:rPr>
          <w:rFonts w:eastAsia="Arial"/>
          <w:b/>
          <w:bCs/>
          <w:lang w:eastAsia="zh-CN"/>
        </w:rPr>
        <w:t>Proposal on min CBW</w:t>
      </w:r>
      <w:r w:rsidRPr="00F14A7B">
        <w:rPr>
          <w:rFonts w:eastAsia="Arial"/>
          <w:b/>
          <w:bCs/>
          <w:lang w:eastAsia="zh-CN"/>
        </w:rPr>
        <w:t xml:space="preserve">: </w:t>
      </w:r>
    </w:p>
    <w:p w14:paraId="086791BB" w14:textId="513620DE" w:rsidR="00521684" w:rsidRPr="00F14A7B" w:rsidRDefault="00521684" w:rsidP="00257AC3">
      <w:pPr>
        <w:pStyle w:val="ListParagraph"/>
        <w:numPr>
          <w:ilvl w:val="0"/>
          <w:numId w:val="65"/>
        </w:numPr>
        <w:spacing w:after="0"/>
        <w:ind w:firstLineChars="0"/>
        <w:rPr>
          <w:rFonts w:eastAsia="Arial"/>
          <w:b/>
          <w:bCs/>
          <w:lang w:eastAsia="zh-CN"/>
        </w:rPr>
      </w:pPr>
      <w:r>
        <w:rPr>
          <w:rFonts w:eastAsia="Arial"/>
          <w:b/>
          <w:bCs/>
          <w:lang w:eastAsia="zh-CN"/>
        </w:rPr>
        <w:lastRenderedPageBreak/>
        <w:t>On top of 3MHz, 7MHz is excluded f</w:t>
      </w:r>
      <w:r w:rsidR="00257AC3">
        <w:rPr>
          <w:rFonts w:eastAsia="Arial"/>
          <w:b/>
          <w:bCs/>
          <w:lang w:eastAsia="zh-CN"/>
        </w:rPr>
        <w:t>ro</w:t>
      </w:r>
      <w:r>
        <w:rPr>
          <w:rFonts w:eastAsia="Arial"/>
          <w:b/>
          <w:bCs/>
          <w:lang w:eastAsia="zh-CN"/>
        </w:rPr>
        <w:t>m the RB/BW extension framework. 38.101-1 clause 6.2.2 is modified to exclude 7MHz CBW</w:t>
      </w:r>
    </w:p>
    <w:p w14:paraId="63B899B2" w14:textId="31591315" w:rsidR="00521684" w:rsidRPr="00521684" w:rsidRDefault="00521684" w:rsidP="00CB68D4">
      <w:pPr>
        <w:pStyle w:val="ListParagraph"/>
        <w:numPr>
          <w:ilvl w:val="0"/>
          <w:numId w:val="65"/>
        </w:numPr>
        <w:spacing w:after="0"/>
        <w:ind w:firstLineChars="0"/>
        <w:rPr>
          <w:rFonts w:eastAsia="Arial"/>
          <w:b/>
          <w:bCs/>
          <w:lang w:eastAsia="zh-CN"/>
        </w:rPr>
      </w:pPr>
      <w:r>
        <w:rPr>
          <w:rFonts w:eastAsia="Arial"/>
          <w:b/>
          <w:bCs/>
          <w:lang w:eastAsia="zh-CN"/>
        </w:rPr>
        <w:t>Further checks for the 250% BW criteria can be performed for 5MHz CBW and if necessary additional test</w:t>
      </w:r>
      <w:r w:rsidR="00DF4D07">
        <w:rPr>
          <w:rFonts w:eastAsia="Arial"/>
          <w:b/>
          <w:bCs/>
          <w:lang w:eastAsia="zh-CN"/>
        </w:rPr>
        <w:t>ing</w:t>
      </w:r>
      <w:r>
        <w:rPr>
          <w:rFonts w:eastAsia="Arial"/>
          <w:b/>
          <w:bCs/>
          <w:lang w:eastAsia="zh-CN"/>
        </w:rPr>
        <w:t xml:space="preserve"> can be </w:t>
      </w:r>
      <w:r w:rsidR="00DF4D07">
        <w:rPr>
          <w:rFonts w:eastAsia="Arial"/>
          <w:b/>
          <w:bCs/>
          <w:lang w:eastAsia="zh-CN"/>
        </w:rPr>
        <w:t>performed</w:t>
      </w:r>
      <w:r>
        <w:rPr>
          <w:rFonts w:eastAsia="Arial"/>
          <w:b/>
          <w:bCs/>
          <w:lang w:eastAsia="zh-CN"/>
        </w:rPr>
        <w:t xml:space="preserve"> for this CBW.</w:t>
      </w:r>
    </w:p>
    <w:p w14:paraId="706A035B" w14:textId="1CCC2FE4" w:rsidR="00C05662" w:rsidRDefault="00F2750F" w:rsidP="00DA1597">
      <w:pPr>
        <w:pStyle w:val="Heading1"/>
        <w:numPr>
          <w:ilvl w:val="0"/>
          <w:numId w:val="1"/>
        </w:numPr>
        <w:ind w:left="567" w:hanging="567"/>
      </w:pPr>
      <w:r>
        <w:t>References</w:t>
      </w:r>
    </w:p>
    <w:p w14:paraId="5C417202" w14:textId="534BB57B" w:rsidR="00181CE0" w:rsidRDefault="003979DC" w:rsidP="008764D0">
      <w:pPr>
        <w:spacing w:after="0"/>
      </w:pPr>
      <w:r w:rsidRPr="00101C34">
        <w:rPr>
          <w:lang w:val="en-US"/>
        </w:rPr>
        <w:t>[</w:t>
      </w:r>
      <w:r w:rsidR="00DB055E" w:rsidRPr="00101C34">
        <w:rPr>
          <w:lang w:val="en-US"/>
        </w:rPr>
        <w:t>1</w:t>
      </w:r>
      <w:r w:rsidRPr="00101C34">
        <w:rPr>
          <w:lang w:val="en-US"/>
        </w:rPr>
        <w:t>]</w:t>
      </w:r>
      <w:bookmarkStart w:id="4" w:name="_Hlk197697194"/>
      <w:r w:rsidR="00846195" w:rsidRPr="00846195">
        <w:t xml:space="preserve"> </w:t>
      </w:r>
      <w:r w:rsidR="00623B0E" w:rsidRPr="00623B0E">
        <w:rPr>
          <w:lang w:val="en-US"/>
        </w:rPr>
        <w:t>R4-2509943 Proposal on OOB range and RB extension principles for MPR reduction</w:t>
      </w:r>
      <w:r w:rsidR="00846195">
        <w:rPr>
          <w:lang w:val="en-US"/>
        </w:rPr>
        <w:t xml:space="preserve">, </w:t>
      </w:r>
      <w:r w:rsidR="00846195" w:rsidRPr="00846195">
        <w:rPr>
          <w:lang w:val="en-US"/>
        </w:rPr>
        <w:t>Skyworks Solutions Inc.</w:t>
      </w:r>
      <w:r w:rsidR="00181CE0" w:rsidRPr="00B61339">
        <w:t xml:space="preserve">, </w:t>
      </w:r>
      <w:r w:rsidR="00181CE0">
        <w:t>RAN4#11</w:t>
      </w:r>
      <w:bookmarkEnd w:id="4"/>
      <w:r w:rsidR="00623B0E">
        <w:t>6</w:t>
      </w:r>
    </w:p>
    <w:p w14:paraId="33979450" w14:textId="0C19CA70" w:rsidR="00742443" w:rsidRDefault="00C60399" w:rsidP="00742443">
      <w:pPr>
        <w:spacing w:after="0"/>
      </w:pPr>
      <w:r w:rsidRPr="00101C34">
        <w:rPr>
          <w:lang w:val="en-US"/>
        </w:rPr>
        <w:t>[</w:t>
      </w:r>
      <w:r>
        <w:rPr>
          <w:lang w:val="en-US"/>
        </w:rPr>
        <w:t>2</w:t>
      </w:r>
      <w:r w:rsidRPr="00101C34">
        <w:rPr>
          <w:lang w:val="en-US"/>
        </w:rPr>
        <w:t xml:space="preserve">] </w:t>
      </w:r>
      <w:r w:rsidR="00CF4770" w:rsidRPr="00CF4770">
        <w:rPr>
          <w:lang w:val="en-US"/>
        </w:rPr>
        <w:t>R4-2511761</w:t>
      </w:r>
      <w:r w:rsidR="00CF4770">
        <w:rPr>
          <w:lang w:val="en-US"/>
        </w:rPr>
        <w:t xml:space="preserve"> </w:t>
      </w:r>
      <w:r w:rsidR="00CF4770" w:rsidRPr="00CF4770">
        <w:rPr>
          <w:lang w:val="en-US"/>
        </w:rPr>
        <w:t>Big CR for TS 38.101-1: Introduction of MPR reduction</w:t>
      </w:r>
      <w:r w:rsidR="00846195">
        <w:rPr>
          <w:lang w:val="en-US"/>
        </w:rPr>
        <w:t>,</w:t>
      </w:r>
      <w:r w:rsidR="00CF4770" w:rsidRPr="00CF4770">
        <w:rPr>
          <w:rFonts w:ascii="Arial" w:hAnsi="Arial" w:cs="Arial"/>
          <w:color w:val="312E25"/>
          <w:sz w:val="18"/>
          <w:szCs w:val="18"/>
          <w:shd w:val="clear" w:color="auto" w:fill="CEF5CB"/>
        </w:rPr>
        <w:t xml:space="preserve"> </w:t>
      </w:r>
      <w:r w:rsidR="00CF4770" w:rsidRPr="00CF4770">
        <w:t xml:space="preserve">Huawei, </w:t>
      </w:r>
      <w:proofErr w:type="spellStart"/>
      <w:r w:rsidR="00CF4770" w:rsidRPr="00CF4770">
        <w:t>HiSilicon</w:t>
      </w:r>
      <w:proofErr w:type="spellEnd"/>
      <w:r w:rsidR="00CF4770" w:rsidRPr="00CF4770">
        <w:t xml:space="preserve">, vivo, ZTE, Nokia, China Telecom, CATT, </w:t>
      </w:r>
      <w:proofErr w:type="spellStart"/>
      <w:r w:rsidR="00CF4770" w:rsidRPr="00CF4770">
        <w:t>xiaomi</w:t>
      </w:r>
      <w:proofErr w:type="spellEnd"/>
      <w:r w:rsidR="00CF4770" w:rsidRPr="00CF4770">
        <w:t>, Skyworks Solutions Inc., OPPO, AT&amp;T, Apple, LG Electronics, Qualcomm, MediaTek, Murata</w:t>
      </w:r>
      <w:r w:rsidRPr="00B61339">
        <w:t xml:space="preserve">, </w:t>
      </w:r>
      <w:r>
        <w:t>RAN4#11</w:t>
      </w:r>
      <w:r w:rsidR="00CF4770">
        <w:t>6</w:t>
      </w:r>
    </w:p>
    <w:p w14:paraId="63EF5C81" w14:textId="77777777" w:rsidR="00987D87" w:rsidRDefault="00987D87" w:rsidP="004D309E">
      <w:pPr>
        <w:pStyle w:val="Heading1"/>
      </w:pPr>
    </w:p>
    <w:p w14:paraId="2A912C39" w14:textId="7C2AC91A" w:rsidR="004D309E" w:rsidRPr="004D309E" w:rsidRDefault="004D309E" w:rsidP="004D309E">
      <w:pPr>
        <w:sectPr w:rsidR="004D309E" w:rsidRPr="004D309E" w:rsidSect="00C958F7">
          <w:footnotePr>
            <w:numRestart w:val="eachSect"/>
          </w:footnotePr>
          <w:pgSz w:w="11907" w:h="16840" w:code="9"/>
          <w:pgMar w:top="720" w:right="720" w:bottom="720" w:left="720" w:header="677" w:footer="562" w:gutter="0"/>
          <w:cols w:space="720"/>
          <w:docGrid w:linePitch="272"/>
        </w:sectPr>
      </w:pPr>
    </w:p>
    <w:p w14:paraId="19D7EC09" w14:textId="097B829B" w:rsidR="00E8051F" w:rsidRDefault="00742443" w:rsidP="00033EF0">
      <w:pPr>
        <w:pStyle w:val="Heading1"/>
        <w:numPr>
          <w:ilvl w:val="0"/>
          <w:numId w:val="1"/>
        </w:numPr>
        <w:ind w:left="567" w:hanging="567"/>
      </w:pPr>
      <w:r>
        <w:lastRenderedPageBreak/>
        <w:t>Anne</w:t>
      </w:r>
      <w:r w:rsidR="00623B0E">
        <w:t>x</w:t>
      </w:r>
      <w:r>
        <w:t>: Raw measurement data</w:t>
      </w:r>
      <w:r w:rsidR="00623B0E">
        <w:t xml:space="preserve"> for 2Tx PC2 and PC1.5</w:t>
      </w:r>
    </w:p>
    <w:p w14:paraId="774B4B69" w14:textId="04824626" w:rsidR="00676355" w:rsidRDefault="00E8051F" w:rsidP="00676355">
      <w:pPr>
        <w:spacing w:after="0"/>
      </w:pPr>
      <w:r>
        <w:t>The Table</w:t>
      </w:r>
      <w:r w:rsidR="00771C4D">
        <w:t>s</w:t>
      </w:r>
      <w:r>
        <w:t xml:space="preserve"> A</w:t>
      </w:r>
      <w:r w:rsidR="00FD2221">
        <w:t>x</w:t>
      </w:r>
      <w:r>
        <w:t xml:space="preserve"> provides the RAW measured </w:t>
      </w:r>
      <w:r w:rsidR="00676355">
        <w:t xml:space="preserve">verification </w:t>
      </w:r>
      <w:r>
        <w:t xml:space="preserve">data </w:t>
      </w:r>
      <w:r w:rsidR="00676355">
        <w:t xml:space="preserve">per the Table A0 template </w:t>
      </w:r>
      <w:r>
        <w:t xml:space="preserve">for </w:t>
      </w:r>
      <w:r w:rsidR="00676355">
        <w:t xml:space="preserve">ACLR and </w:t>
      </w:r>
      <w:proofErr w:type="spellStart"/>
      <w:r w:rsidR="00676355">
        <w:t>SEM+Spurious</w:t>
      </w:r>
      <w:proofErr w:type="spellEnd"/>
      <w:r w:rsidR="00676355">
        <w:t xml:space="preserve"> emissions margins for:</w:t>
      </w:r>
    </w:p>
    <w:p w14:paraId="3966D9DC" w14:textId="1E1523CD" w:rsidR="005E5728" w:rsidRDefault="005E5728" w:rsidP="00F63894">
      <w:pPr>
        <w:pStyle w:val="ListParagraph"/>
        <w:numPr>
          <w:ilvl w:val="0"/>
          <w:numId w:val="51"/>
        </w:numPr>
        <w:spacing w:after="0"/>
        <w:ind w:left="360" w:firstLineChars="0"/>
      </w:pPr>
      <w:r>
        <w:t xml:space="preserve">PC3 1Tx in chapter 5.1 </w:t>
      </w:r>
      <w:r w:rsidR="00512D78">
        <w:t xml:space="preserve">and </w:t>
      </w:r>
      <w:r>
        <w:t xml:space="preserve">PC2 1Tx in chapter 5.2 </w:t>
      </w:r>
    </w:p>
    <w:p w14:paraId="43A342C7" w14:textId="6FF6A55E" w:rsidR="00512D78" w:rsidRDefault="00512D78" w:rsidP="00F51C19">
      <w:pPr>
        <w:pStyle w:val="ListParagraph"/>
        <w:numPr>
          <w:ilvl w:val="0"/>
          <w:numId w:val="51"/>
        </w:numPr>
        <w:spacing w:after="0"/>
        <w:ind w:firstLineChars="0"/>
      </w:pPr>
      <w:r>
        <w:t>The two cases above are copied from [1] but tables have been corrected as some columns were swapped</w:t>
      </w:r>
      <w:r w:rsidR="00F51C19">
        <w:t xml:space="preserve">, this does </w:t>
      </w:r>
      <w:r>
        <w:t xml:space="preserve">not change the </w:t>
      </w:r>
      <w:r w:rsidR="00F51C19">
        <w:t xml:space="preserve">earlier </w:t>
      </w:r>
      <w:r>
        <w:t>conclusions</w:t>
      </w:r>
    </w:p>
    <w:p w14:paraId="47977FD9" w14:textId="0BC038E3" w:rsidR="00C45E15" w:rsidRDefault="00C45E15" w:rsidP="00655BA5">
      <w:pPr>
        <w:pStyle w:val="ListParagraph"/>
        <w:numPr>
          <w:ilvl w:val="0"/>
          <w:numId w:val="51"/>
        </w:numPr>
        <w:spacing w:after="0"/>
        <w:ind w:left="360" w:firstLineChars="0"/>
      </w:pPr>
      <w:r>
        <w:t>PC</w:t>
      </w:r>
      <w:r w:rsidR="00623B0E">
        <w:t>2 2Tx</w:t>
      </w:r>
      <w:r>
        <w:t xml:space="preserve"> in chapter </w:t>
      </w:r>
      <w:r w:rsidR="00623B0E">
        <w:t>5</w:t>
      </w:r>
      <w:r>
        <w:t>.</w:t>
      </w:r>
      <w:r w:rsidR="005E5728">
        <w:t>3</w:t>
      </w:r>
      <w:r>
        <w:t xml:space="preserve"> </w:t>
      </w:r>
      <w:r w:rsidR="00512D78">
        <w:t xml:space="preserve">and </w:t>
      </w:r>
      <w:r>
        <w:t>PC</w:t>
      </w:r>
      <w:r w:rsidR="00623B0E">
        <w:t>1.5 2T</w:t>
      </w:r>
      <w:r w:rsidR="005E5728">
        <w:t>x</w:t>
      </w:r>
      <w:r>
        <w:t xml:space="preserve"> in chapter </w:t>
      </w:r>
      <w:r w:rsidR="00623B0E">
        <w:t>5</w:t>
      </w:r>
      <w:r>
        <w:t>.</w:t>
      </w:r>
      <w:r w:rsidR="005E5728">
        <w:t>4</w:t>
      </w:r>
    </w:p>
    <w:p w14:paraId="40E12F76" w14:textId="7771109E" w:rsidR="00C45E15" w:rsidRDefault="00C45E15" w:rsidP="00C45E15">
      <w:pPr>
        <w:pStyle w:val="ListParagraph"/>
        <w:numPr>
          <w:ilvl w:val="0"/>
          <w:numId w:val="51"/>
        </w:numPr>
        <w:spacing w:after="0"/>
        <w:ind w:left="360" w:firstLineChars="0"/>
      </w:pPr>
      <w:r>
        <w:t>Channel bandwidth / SCS of: 5MHz/15kHz, 20MHz/15kHz, 50MHz/15kHz and 100MHz/30kHz</w:t>
      </w:r>
    </w:p>
    <w:p w14:paraId="060334D2" w14:textId="5489C4A1" w:rsidR="00C45E15" w:rsidRDefault="00C45E15" w:rsidP="00C45E15">
      <w:pPr>
        <w:pStyle w:val="ListParagraph"/>
        <w:numPr>
          <w:ilvl w:val="0"/>
          <w:numId w:val="50"/>
        </w:numPr>
        <w:spacing w:after="0"/>
        <w:ind w:left="360" w:firstLineChars="0"/>
      </w:pPr>
      <w:r>
        <w:t>CP-OFDM and DFT-s-OFDM for various allocations with their Inner/</w:t>
      </w:r>
      <w:r w:rsidR="00846195">
        <w:t>O</w:t>
      </w:r>
      <w:r>
        <w:t>uter definition as per the extension ratios</w:t>
      </w:r>
      <w:r w:rsidR="00846195">
        <w:t>. Allocations on the right side have been used most</w:t>
      </w:r>
      <w:r w:rsidR="00771C4D">
        <w:t xml:space="preserve"> often</w:t>
      </w:r>
      <w:r w:rsidR="00846195">
        <w:t xml:space="preserve"> as they have the lowest distance to where the emissions apply. </w:t>
      </w:r>
    </w:p>
    <w:p w14:paraId="4EEF0A63" w14:textId="77777777" w:rsidR="00C45E15" w:rsidRDefault="00C45E15" w:rsidP="00C45E15">
      <w:pPr>
        <w:pStyle w:val="ListParagraph"/>
        <w:numPr>
          <w:ilvl w:val="0"/>
          <w:numId w:val="50"/>
        </w:numPr>
        <w:spacing w:after="0"/>
        <w:ind w:left="360" w:firstLineChars="0"/>
      </w:pPr>
      <w:r>
        <w:t>Pass/fail for inner/outer</w:t>
      </w:r>
    </w:p>
    <w:p w14:paraId="46525652" w14:textId="72BACC02" w:rsidR="00E8051F" w:rsidRDefault="00676355" w:rsidP="00C45E15">
      <w:pPr>
        <w:pStyle w:val="ListParagraph"/>
        <w:numPr>
          <w:ilvl w:val="0"/>
          <w:numId w:val="50"/>
        </w:numPr>
        <w:spacing w:after="0"/>
        <w:ind w:left="360" w:firstLineChars="0"/>
      </w:pPr>
      <w:r>
        <w:t>Baseline extension ratio {0,0} applying MPR according to inner, outer definition</w:t>
      </w:r>
    </w:p>
    <w:p w14:paraId="07D9ED3F" w14:textId="28B691AB" w:rsidR="00676355" w:rsidRDefault="00676355" w:rsidP="00C45E15">
      <w:pPr>
        <w:pStyle w:val="ListParagraph"/>
        <w:numPr>
          <w:ilvl w:val="0"/>
          <w:numId w:val="50"/>
        </w:numPr>
        <w:spacing w:after="0"/>
        <w:ind w:left="360" w:firstLineChars="0"/>
      </w:pPr>
      <w:r>
        <w:t>Optional extension ratio {</w:t>
      </w:r>
      <w:proofErr w:type="gramStart"/>
      <w:r>
        <w:t>X,Y</w:t>
      </w:r>
      <w:proofErr w:type="gramEnd"/>
      <w:r>
        <w:t>} with X and Y = 0, ½, ¼ applying MPR according to inner only</w:t>
      </w:r>
    </w:p>
    <w:p w14:paraId="3BD65D29" w14:textId="77777777" w:rsidR="00676355" w:rsidRDefault="00676355" w:rsidP="00C45E15">
      <w:pPr>
        <w:spacing w:after="0"/>
      </w:pPr>
    </w:p>
    <w:p w14:paraId="01968986" w14:textId="16EA4854" w:rsidR="00676355" w:rsidRDefault="00676355" w:rsidP="00676355">
      <w:pPr>
        <w:pStyle w:val="Caption"/>
        <w:keepNext/>
      </w:pPr>
      <w:r>
        <w:t>Table A 0: template for tables in Annex</w:t>
      </w:r>
    </w:p>
    <w:tbl>
      <w:tblPr>
        <w:tblW w:w="8448" w:type="dxa"/>
        <w:jc w:val="center"/>
        <w:tblLook w:val="04A0" w:firstRow="1" w:lastRow="0" w:firstColumn="1" w:lastColumn="0" w:noHBand="0" w:noVBand="1"/>
      </w:tblPr>
      <w:tblGrid>
        <w:gridCol w:w="448"/>
        <w:gridCol w:w="631"/>
        <w:gridCol w:w="532"/>
        <w:gridCol w:w="429"/>
        <w:gridCol w:w="1894"/>
        <w:gridCol w:w="519"/>
        <w:gridCol w:w="1791"/>
        <w:gridCol w:w="429"/>
        <w:gridCol w:w="10"/>
        <w:gridCol w:w="1765"/>
      </w:tblGrid>
      <w:tr w:rsidR="00676355" w:rsidRPr="00676355" w14:paraId="7CF53560" w14:textId="77777777" w:rsidTr="00846195">
        <w:trPr>
          <w:trHeight w:val="70"/>
          <w:jc w:val="center"/>
        </w:trPr>
        <w:tc>
          <w:tcPr>
            <w:tcW w:w="1611"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14:paraId="64282DEA" w14:textId="77777777" w:rsidR="00676355" w:rsidRPr="00676355" w:rsidRDefault="00676355" w:rsidP="00676355">
            <w:pPr>
              <w:overflowPunct/>
              <w:autoSpaceDE/>
              <w:autoSpaceDN/>
              <w:adjustRightInd/>
              <w:spacing w:after="0"/>
              <w:jc w:val="center"/>
              <w:textAlignment w:val="auto"/>
              <w:rPr>
                <w:rFonts w:ascii="Calibri" w:hAnsi="Calibri" w:cs="Calibri"/>
                <w:color w:val="000000"/>
                <w:sz w:val="18"/>
                <w:szCs w:val="18"/>
                <w:lang w:val="en-US" w:eastAsia="en-US"/>
              </w:rPr>
            </w:pPr>
            <w:r w:rsidRPr="00676355">
              <w:rPr>
                <w:rFonts w:ascii="Calibri" w:hAnsi="Calibri" w:cs="Calibri"/>
                <w:color w:val="000000"/>
                <w:sz w:val="18"/>
                <w:szCs w:val="18"/>
                <w:lang w:val="en-US" w:eastAsia="en-US"/>
              </w:rPr>
              <w:t>CBW/SCS</w:t>
            </w:r>
          </w:p>
        </w:tc>
        <w:tc>
          <w:tcPr>
            <w:tcW w:w="6837" w:type="dxa"/>
            <w:gridSpan w:val="7"/>
            <w:tcBorders>
              <w:top w:val="single" w:sz="4" w:space="0" w:color="auto"/>
              <w:left w:val="nil"/>
              <w:bottom w:val="single" w:sz="4" w:space="0" w:color="auto"/>
              <w:right w:val="single" w:sz="4" w:space="0" w:color="auto"/>
            </w:tcBorders>
            <w:shd w:val="clear" w:color="auto" w:fill="auto"/>
            <w:noWrap/>
            <w:vAlign w:val="center"/>
            <w:hideMark/>
          </w:tcPr>
          <w:p w14:paraId="7476645D" w14:textId="77777777" w:rsidR="00676355" w:rsidRPr="00676355" w:rsidRDefault="00676355" w:rsidP="00676355">
            <w:pPr>
              <w:overflowPunct/>
              <w:autoSpaceDE/>
              <w:autoSpaceDN/>
              <w:adjustRightInd/>
              <w:spacing w:after="0"/>
              <w:jc w:val="center"/>
              <w:textAlignment w:val="auto"/>
              <w:rPr>
                <w:rFonts w:ascii="Calibri" w:hAnsi="Calibri" w:cs="Calibri"/>
                <w:color w:val="000000"/>
                <w:sz w:val="18"/>
                <w:szCs w:val="18"/>
                <w:lang w:val="en-US" w:eastAsia="en-US"/>
              </w:rPr>
            </w:pPr>
            <w:r w:rsidRPr="00676355">
              <w:rPr>
                <w:rFonts w:ascii="Calibri" w:hAnsi="Calibri" w:cs="Calibri"/>
                <w:color w:val="000000"/>
                <w:sz w:val="18"/>
                <w:szCs w:val="18"/>
                <w:lang w:val="en-US" w:eastAsia="en-US"/>
              </w:rPr>
              <w:t>Channel Bandwidth and SCS</w:t>
            </w:r>
          </w:p>
        </w:tc>
      </w:tr>
      <w:tr w:rsidR="00676355" w:rsidRPr="00676355" w14:paraId="6ACDF82F" w14:textId="77777777" w:rsidTr="00846195">
        <w:trPr>
          <w:trHeight w:val="70"/>
          <w:jc w:val="center"/>
        </w:trPr>
        <w:tc>
          <w:tcPr>
            <w:tcW w:w="448"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14:paraId="660D8BCC" w14:textId="77777777" w:rsidR="00676355" w:rsidRPr="00676355" w:rsidRDefault="00676355" w:rsidP="00676355">
            <w:pPr>
              <w:overflowPunct/>
              <w:autoSpaceDE/>
              <w:autoSpaceDN/>
              <w:adjustRightInd/>
              <w:spacing w:after="0"/>
              <w:jc w:val="center"/>
              <w:textAlignment w:val="auto"/>
              <w:rPr>
                <w:rFonts w:ascii="Calibri" w:hAnsi="Calibri" w:cs="Calibri"/>
                <w:color w:val="000000"/>
                <w:sz w:val="18"/>
                <w:szCs w:val="18"/>
                <w:lang w:val="en-US" w:eastAsia="en-US"/>
              </w:rPr>
            </w:pPr>
            <w:r w:rsidRPr="00676355">
              <w:rPr>
                <w:rFonts w:ascii="Calibri" w:hAnsi="Calibri" w:cs="Calibri"/>
                <w:color w:val="000000"/>
                <w:sz w:val="18"/>
                <w:szCs w:val="18"/>
                <w:lang w:val="en-US" w:eastAsia="en-US"/>
              </w:rPr>
              <w:t>Waveform</w:t>
            </w:r>
          </w:p>
        </w:tc>
        <w:tc>
          <w:tcPr>
            <w:tcW w:w="1163" w:type="dxa"/>
            <w:gridSpan w:val="2"/>
            <w:tcBorders>
              <w:top w:val="single" w:sz="4" w:space="0" w:color="auto"/>
              <w:left w:val="nil"/>
              <w:bottom w:val="single" w:sz="4" w:space="0" w:color="auto"/>
              <w:right w:val="single" w:sz="4" w:space="0" w:color="auto"/>
            </w:tcBorders>
            <w:shd w:val="clear" w:color="auto" w:fill="auto"/>
            <w:vAlign w:val="bottom"/>
            <w:hideMark/>
          </w:tcPr>
          <w:p w14:paraId="30B90EEA" w14:textId="77777777" w:rsidR="00676355" w:rsidRPr="00676355" w:rsidRDefault="00676355" w:rsidP="00676355">
            <w:pPr>
              <w:overflowPunct/>
              <w:autoSpaceDE/>
              <w:autoSpaceDN/>
              <w:adjustRightInd/>
              <w:spacing w:after="0"/>
              <w:jc w:val="center"/>
              <w:textAlignment w:val="auto"/>
              <w:rPr>
                <w:rFonts w:ascii="Calibri" w:hAnsi="Calibri" w:cs="Calibri"/>
                <w:color w:val="000000"/>
                <w:sz w:val="18"/>
                <w:szCs w:val="18"/>
                <w:lang w:val="en-US" w:eastAsia="en-US"/>
              </w:rPr>
            </w:pPr>
            <w:r w:rsidRPr="00676355">
              <w:rPr>
                <w:rFonts w:ascii="Calibri" w:hAnsi="Calibri" w:cs="Calibri"/>
                <w:color w:val="000000"/>
                <w:sz w:val="18"/>
                <w:szCs w:val="18"/>
                <w:lang w:val="en-US" w:eastAsia="en-US"/>
              </w:rPr>
              <w:t>CP/DF</w:t>
            </w:r>
          </w:p>
        </w:tc>
        <w:tc>
          <w:tcPr>
            <w:tcW w:w="6837" w:type="dxa"/>
            <w:gridSpan w:val="7"/>
            <w:tcBorders>
              <w:top w:val="single" w:sz="4" w:space="0" w:color="auto"/>
              <w:left w:val="nil"/>
              <w:bottom w:val="single" w:sz="4" w:space="0" w:color="auto"/>
              <w:right w:val="single" w:sz="4" w:space="0" w:color="auto"/>
            </w:tcBorders>
            <w:shd w:val="clear" w:color="auto" w:fill="auto"/>
            <w:noWrap/>
            <w:vAlign w:val="center"/>
            <w:hideMark/>
          </w:tcPr>
          <w:p w14:paraId="467DFFDF" w14:textId="77777777" w:rsidR="00676355" w:rsidRPr="00676355" w:rsidRDefault="00676355" w:rsidP="00676355">
            <w:pPr>
              <w:overflowPunct/>
              <w:autoSpaceDE/>
              <w:autoSpaceDN/>
              <w:adjustRightInd/>
              <w:spacing w:after="0"/>
              <w:jc w:val="center"/>
              <w:textAlignment w:val="auto"/>
              <w:rPr>
                <w:rFonts w:ascii="Calibri" w:hAnsi="Calibri" w:cs="Calibri"/>
                <w:color w:val="000000"/>
                <w:sz w:val="18"/>
                <w:szCs w:val="18"/>
                <w:lang w:val="en-US" w:eastAsia="en-US"/>
              </w:rPr>
            </w:pPr>
            <w:r w:rsidRPr="00676355">
              <w:rPr>
                <w:rFonts w:ascii="Calibri" w:hAnsi="Calibri" w:cs="Calibri"/>
                <w:color w:val="000000"/>
                <w:sz w:val="18"/>
                <w:szCs w:val="18"/>
                <w:lang w:val="en-US" w:eastAsia="en-US"/>
              </w:rPr>
              <w:t>Waveform type (QPSK CP-OFDM/DFT-s-OFDM)</w:t>
            </w:r>
          </w:p>
        </w:tc>
      </w:tr>
      <w:tr w:rsidR="00676355" w:rsidRPr="00676355" w14:paraId="27F193FD" w14:textId="77777777" w:rsidTr="00846195">
        <w:trPr>
          <w:trHeight w:val="70"/>
          <w:jc w:val="center"/>
        </w:trPr>
        <w:tc>
          <w:tcPr>
            <w:tcW w:w="448" w:type="dxa"/>
            <w:vMerge/>
            <w:tcBorders>
              <w:top w:val="nil"/>
              <w:left w:val="single" w:sz="4" w:space="0" w:color="auto"/>
              <w:bottom w:val="single" w:sz="4" w:space="0" w:color="auto"/>
              <w:right w:val="single" w:sz="4" w:space="0" w:color="auto"/>
            </w:tcBorders>
            <w:vAlign w:val="center"/>
            <w:hideMark/>
          </w:tcPr>
          <w:p w14:paraId="7AB70BAC" w14:textId="77777777" w:rsidR="00676355" w:rsidRPr="00676355" w:rsidRDefault="00676355" w:rsidP="00676355">
            <w:pPr>
              <w:overflowPunct/>
              <w:autoSpaceDE/>
              <w:autoSpaceDN/>
              <w:adjustRightInd/>
              <w:spacing w:after="0"/>
              <w:textAlignment w:val="auto"/>
              <w:rPr>
                <w:rFonts w:ascii="Calibri" w:hAnsi="Calibri" w:cs="Calibri"/>
                <w:color w:val="000000"/>
                <w:sz w:val="18"/>
                <w:szCs w:val="18"/>
                <w:lang w:val="en-US" w:eastAsia="en-US"/>
              </w:rPr>
            </w:pPr>
          </w:p>
        </w:tc>
        <w:tc>
          <w:tcPr>
            <w:tcW w:w="1163" w:type="dxa"/>
            <w:gridSpan w:val="2"/>
            <w:tcBorders>
              <w:top w:val="single" w:sz="4" w:space="0" w:color="auto"/>
              <w:left w:val="nil"/>
              <w:bottom w:val="single" w:sz="4" w:space="0" w:color="auto"/>
              <w:right w:val="single" w:sz="4" w:space="0" w:color="auto"/>
            </w:tcBorders>
            <w:shd w:val="clear" w:color="auto" w:fill="auto"/>
            <w:noWrap/>
            <w:vAlign w:val="bottom"/>
            <w:hideMark/>
          </w:tcPr>
          <w:p w14:paraId="5B47B533" w14:textId="77777777" w:rsidR="00676355" w:rsidRPr="00676355" w:rsidRDefault="00676355" w:rsidP="00676355">
            <w:pPr>
              <w:overflowPunct/>
              <w:autoSpaceDE/>
              <w:autoSpaceDN/>
              <w:adjustRightInd/>
              <w:spacing w:after="0"/>
              <w:jc w:val="center"/>
              <w:textAlignment w:val="auto"/>
              <w:rPr>
                <w:rFonts w:ascii="Calibri" w:hAnsi="Calibri" w:cs="Calibri"/>
                <w:color w:val="000000"/>
                <w:sz w:val="18"/>
                <w:szCs w:val="18"/>
                <w:lang w:val="en-US" w:eastAsia="en-US"/>
              </w:rPr>
            </w:pPr>
            <w:proofErr w:type="spellStart"/>
            <w:r w:rsidRPr="00676355">
              <w:rPr>
                <w:rFonts w:ascii="Calibri" w:hAnsi="Calibri" w:cs="Calibri"/>
                <w:color w:val="000000"/>
                <w:sz w:val="18"/>
                <w:szCs w:val="18"/>
                <w:lang w:val="en-US" w:eastAsia="en-US"/>
              </w:rPr>
              <w:t>Alloc</w:t>
            </w:r>
            <w:proofErr w:type="spellEnd"/>
          </w:p>
        </w:tc>
        <w:tc>
          <w:tcPr>
            <w:tcW w:w="6837" w:type="dxa"/>
            <w:gridSpan w:val="7"/>
            <w:tcBorders>
              <w:top w:val="single" w:sz="4" w:space="0" w:color="auto"/>
              <w:left w:val="nil"/>
              <w:bottom w:val="single" w:sz="4" w:space="0" w:color="auto"/>
              <w:right w:val="single" w:sz="4" w:space="0" w:color="000000"/>
            </w:tcBorders>
            <w:shd w:val="clear" w:color="auto" w:fill="auto"/>
            <w:noWrap/>
            <w:vAlign w:val="bottom"/>
            <w:hideMark/>
          </w:tcPr>
          <w:p w14:paraId="68FF5F22" w14:textId="77777777" w:rsidR="00676355" w:rsidRPr="00676355" w:rsidRDefault="00676355" w:rsidP="00676355">
            <w:pPr>
              <w:overflowPunct/>
              <w:autoSpaceDE/>
              <w:autoSpaceDN/>
              <w:adjustRightInd/>
              <w:spacing w:after="0"/>
              <w:jc w:val="center"/>
              <w:textAlignment w:val="auto"/>
              <w:rPr>
                <w:rFonts w:ascii="Calibri" w:hAnsi="Calibri" w:cs="Calibri"/>
                <w:color w:val="000000"/>
                <w:sz w:val="18"/>
                <w:szCs w:val="18"/>
                <w:lang w:val="en-US" w:eastAsia="en-US"/>
              </w:rPr>
            </w:pPr>
            <w:r w:rsidRPr="00676355">
              <w:rPr>
                <w:rFonts w:ascii="Calibri" w:hAnsi="Calibri" w:cs="Calibri"/>
                <w:color w:val="000000"/>
                <w:sz w:val="18"/>
                <w:szCs w:val="18"/>
                <w:lang w:val="en-US" w:eastAsia="en-US"/>
              </w:rPr>
              <w:t>Allocation LCRB/RB/</w:t>
            </w:r>
            <w:proofErr w:type="spellStart"/>
            <w:r w:rsidRPr="00676355">
              <w:rPr>
                <w:rFonts w:ascii="Calibri" w:hAnsi="Calibri" w:cs="Calibri"/>
                <w:color w:val="000000"/>
                <w:sz w:val="18"/>
                <w:szCs w:val="18"/>
                <w:lang w:val="en-US" w:eastAsia="en-US"/>
              </w:rPr>
              <w:t>RBstart</w:t>
            </w:r>
            <w:proofErr w:type="spellEnd"/>
          </w:p>
        </w:tc>
      </w:tr>
      <w:tr w:rsidR="00676355" w:rsidRPr="00676355" w14:paraId="705A90E4" w14:textId="77777777" w:rsidTr="00846195">
        <w:trPr>
          <w:trHeight w:val="70"/>
          <w:jc w:val="center"/>
        </w:trPr>
        <w:tc>
          <w:tcPr>
            <w:tcW w:w="1611"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14:paraId="79C71551" w14:textId="77777777" w:rsidR="00676355" w:rsidRPr="00676355" w:rsidRDefault="00676355" w:rsidP="00676355">
            <w:pPr>
              <w:overflowPunct/>
              <w:autoSpaceDE/>
              <w:autoSpaceDN/>
              <w:adjustRightInd/>
              <w:spacing w:after="0"/>
              <w:jc w:val="center"/>
              <w:textAlignment w:val="auto"/>
              <w:rPr>
                <w:rFonts w:ascii="Calibri" w:hAnsi="Calibri" w:cs="Calibri"/>
                <w:color w:val="000000"/>
                <w:sz w:val="18"/>
                <w:szCs w:val="18"/>
                <w:lang w:val="en-US" w:eastAsia="en-US"/>
              </w:rPr>
            </w:pPr>
            <w:r w:rsidRPr="00676355">
              <w:rPr>
                <w:rFonts w:ascii="Calibri" w:hAnsi="Calibri" w:cs="Calibri"/>
                <w:color w:val="000000"/>
                <w:sz w:val="18"/>
                <w:szCs w:val="18"/>
                <w:lang w:val="en-US" w:eastAsia="en-US"/>
              </w:rPr>
              <w:t>Pout w MPR</w:t>
            </w:r>
          </w:p>
        </w:tc>
        <w:tc>
          <w:tcPr>
            <w:tcW w:w="6837" w:type="dxa"/>
            <w:gridSpan w:val="7"/>
            <w:tcBorders>
              <w:top w:val="single" w:sz="4" w:space="0" w:color="auto"/>
              <w:left w:val="nil"/>
              <w:bottom w:val="single" w:sz="4" w:space="0" w:color="auto"/>
              <w:right w:val="single" w:sz="4" w:space="0" w:color="000000"/>
            </w:tcBorders>
            <w:shd w:val="clear" w:color="auto" w:fill="auto"/>
            <w:noWrap/>
            <w:vAlign w:val="bottom"/>
            <w:hideMark/>
          </w:tcPr>
          <w:p w14:paraId="6589BE68" w14:textId="52158F1A" w:rsidR="00676355" w:rsidRPr="00676355" w:rsidRDefault="00846195" w:rsidP="00676355">
            <w:pPr>
              <w:overflowPunct/>
              <w:autoSpaceDE/>
              <w:autoSpaceDN/>
              <w:adjustRightInd/>
              <w:spacing w:after="0"/>
              <w:jc w:val="center"/>
              <w:textAlignment w:val="auto"/>
              <w:rPr>
                <w:rFonts w:ascii="Calibri" w:hAnsi="Calibri" w:cs="Calibri"/>
                <w:color w:val="000000"/>
                <w:sz w:val="18"/>
                <w:szCs w:val="18"/>
                <w:lang w:val="en-US" w:eastAsia="en-US"/>
              </w:rPr>
            </w:pPr>
            <w:r>
              <w:rPr>
                <w:rFonts w:ascii="Calibri" w:hAnsi="Calibri" w:cs="Calibri"/>
                <w:color w:val="000000"/>
                <w:sz w:val="18"/>
                <w:szCs w:val="18"/>
                <w:lang w:val="en-US" w:eastAsia="en-US"/>
              </w:rPr>
              <w:t>Measured o</w:t>
            </w:r>
            <w:r w:rsidR="00676355" w:rsidRPr="00676355">
              <w:rPr>
                <w:rFonts w:ascii="Calibri" w:hAnsi="Calibri" w:cs="Calibri"/>
                <w:color w:val="000000"/>
                <w:sz w:val="18"/>
                <w:szCs w:val="18"/>
                <w:lang w:val="en-US" w:eastAsia="en-US"/>
              </w:rPr>
              <w:t>utput power (with MPR for {0,0} with inner MPR for others</w:t>
            </w:r>
            <w:r>
              <w:rPr>
                <w:rFonts w:ascii="Calibri" w:hAnsi="Calibri" w:cs="Calibri"/>
                <w:color w:val="000000"/>
                <w:sz w:val="18"/>
                <w:szCs w:val="18"/>
                <w:lang w:val="en-US" w:eastAsia="en-US"/>
              </w:rPr>
              <w:t>)</w:t>
            </w:r>
          </w:p>
        </w:tc>
      </w:tr>
      <w:tr w:rsidR="00676355" w:rsidRPr="00676355" w14:paraId="74205CC0" w14:textId="77777777" w:rsidTr="00846195">
        <w:trPr>
          <w:trHeight w:val="70"/>
          <w:jc w:val="center"/>
        </w:trPr>
        <w:tc>
          <w:tcPr>
            <w:tcW w:w="448"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14:paraId="5D75775C" w14:textId="77777777" w:rsidR="00676355" w:rsidRPr="00676355" w:rsidRDefault="00676355" w:rsidP="00676355">
            <w:pPr>
              <w:overflowPunct/>
              <w:autoSpaceDE/>
              <w:autoSpaceDN/>
              <w:adjustRightInd/>
              <w:spacing w:after="0"/>
              <w:jc w:val="center"/>
              <w:textAlignment w:val="auto"/>
              <w:rPr>
                <w:rFonts w:ascii="Calibri" w:hAnsi="Calibri" w:cs="Calibri"/>
                <w:color w:val="000000"/>
                <w:sz w:val="18"/>
                <w:szCs w:val="18"/>
                <w:lang w:val="en-US" w:eastAsia="en-US"/>
              </w:rPr>
            </w:pPr>
            <w:r w:rsidRPr="00676355">
              <w:rPr>
                <w:rFonts w:ascii="Calibri" w:hAnsi="Calibri" w:cs="Calibri"/>
                <w:color w:val="000000"/>
                <w:sz w:val="18"/>
                <w:szCs w:val="18"/>
                <w:lang w:val="en-US" w:eastAsia="en-US"/>
              </w:rPr>
              <w:t>Extension {0,0}</w:t>
            </w:r>
          </w:p>
        </w:tc>
        <w:tc>
          <w:tcPr>
            <w:tcW w:w="1163" w:type="dxa"/>
            <w:gridSpan w:val="2"/>
            <w:tcBorders>
              <w:top w:val="single" w:sz="4" w:space="0" w:color="auto"/>
              <w:left w:val="nil"/>
              <w:bottom w:val="single" w:sz="4" w:space="0" w:color="auto"/>
              <w:right w:val="single" w:sz="4" w:space="0" w:color="auto"/>
            </w:tcBorders>
            <w:shd w:val="clear" w:color="auto" w:fill="auto"/>
            <w:noWrap/>
            <w:vAlign w:val="bottom"/>
            <w:hideMark/>
          </w:tcPr>
          <w:p w14:paraId="7E70DA10" w14:textId="77777777" w:rsidR="00676355" w:rsidRPr="00676355" w:rsidRDefault="00676355" w:rsidP="00676355">
            <w:pPr>
              <w:overflowPunct/>
              <w:autoSpaceDE/>
              <w:autoSpaceDN/>
              <w:adjustRightInd/>
              <w:spacing w:after="0"/>
              <w:jc w:val="center"/>
              <w:textAlignment w:val="auto"/>
              <w:rPr>
                <w:rFonts w:ascii="Calibri" w:hAnsi="Calibri" w:cs="Calibri"/>
                <w:color w:val="000000"/>
                <w:sz w:val="18"/>
                <w:szCs w:val="18"/>
                <w:lang w:val="en-US" w:eastAsia="en-US"/>
              </w:rPr>
            </w:pPr>
            <w:r w:rsidRPr="00676355">
              <w:rPr>
                <w:rFonts w:ascii="Calibri" w:hAnsi="Calibri" w:cs="Calibri"/>
                <w:color w:val="000000"/>
                <w:sz w:val="18"/>
                <w:szCs w:val="18"/>
                <w:lang w:val="en-US" w:eastAsia="en-US"/>
              </w:rPr>
              <w:t>I/O</w:t>
            </w:r>
          </w:p>
        </w:tc>
        <w:tc>
          <w:tcPr>
            <w:tcW w:w="6837" w:type="dxa"/>
            <w:gridSpan w:val="7"/>
            <w:tcBorders>
              <w:top w:val="single" w:sz="4" w:space="0" w:color="auto"/>
              <w:left w:val="nil"/>
              <w:bottom w:val="single" w:sz="4" w:space="0" w:color="auto"/>
              <w:right w:val="single" w:sz="4" w:space="0" w:color="000000"/>
            </w:tcBorders>
            <w:shd w:val="clear" w:color="auto" w:fill="auto"/>
            <w:noWrap/>
            <w:vAlign w:val="bottom"/>
            <w:hideMark/>
          </w:tcPr>
          <w:p w14:paraId="4A6A8941" w14:textId="34234EDA" w:rsidR="00676355" w:rsidRPr="00676355" w:rsidRDefault="00676355" w:rsidP="00676355">
            <w:pPr>
              <w:overflowPunct/>
              <w:autoSpaceDE/>
              <w:autoSpaceDN/>
              <w:adjustRightInd/>
              <w:spacing w:after="0"/>
              <w:jc w:val="center"/>
              <w:textAlignment w:val="auto"/>
              <w:rPr>
                <w:rFonts w:ascii="Calibri" w:hAnsi="Calibri" w:cs="Calibri"/>
                <w:color w:val="000000"/>
                <w:sz w:val="18"/>
                <w:szCs w:val="18"/>
                <w:lang w:val="en-US" w:eastAsia="en-US"/>
              </w:rPr>
            </w:pPr>
            <w:r w:rsidRPr="00676355">
              <w:rPr>
                <w:rFonts w:ascii="Calibri" w:hAnsi="Calibri" w:cs="Calibri"/>
                <w:color w:val="000000"/>
                <w:sz w:val="18"/>
                <w:szCs w:val="18"/>
                <w:lang w:val="en-US" w:eastAsia="en-US"/>
              </w:rPr>
              <w:t>Inner (I) or outer (O) tag</w:t>
            </w:r>
            <w:r w:rsidR="00846195">
              <w:rPr>
                <w:rFonts w:ascii="Calibri" w:hAnsi="Calibri" w:cs="Calibri"/>
                <w:color w:val="000000"/>
                <w:sz w:val="18"/>
                <w:szCs w:val="18"/>
                <w:lang w:val="en-US" w:eastAsia="en-US"/>
              </w:rPr>
              <w:t xml:space="preserve"> as extension ratio</w:t>
            </w:r>
          </w:p>
        </w:tc>
      </w:tr>
      <w:tr w:rsidR="00676355" w:rsidRPr="00676355" w14:paraId="625AE510" w14:textId="77777777" w:rsidTr="00846195">
        <w:trPr>
          <w:trHeight w:val="143"/>
          <w:jc w:val="center"/>
        </w:trPr>
        <w:tc>
          <w:tcPr>
            <w:tcW w:w="448" w:type="dxa"/>
            <w:vMerge/>
            <w:tcBorders>
              <w:top w:val="nil"/>
              <w:left w:val="single" w:sz="4" w:space="0" w:color="auto"/>
              <w:bottom w:val="single" w:sz="4" w:space="0" w:color="auto"/>
              <w:right w:val="single" w:sz="4" w:space="0" w:color="auto"/>
            </w:tcBorders>
            <w:vAlign w:val="center"/>
            <w:hideMark/>
          </w:tcPr>
          <w:p w14:paraId="18931F4C" w14:textId="77777777" w:rsidR="00676355" w:rsidRPr="00676355" w:rsidRDefault="00676355" w:rsidP="00676355">
            <w:pPr>
              <w:overflowPunct/>
              <w:autoSpaceDE/>
              <w:autoSpaceDN/>
              <w:adjustRightInd/>
              <w:spacing w:after="0"/>
              <w:textAlignment w:val="auto"/>
              <w:rPr>
                <w:rFonts w:ascii="Calibri" w:hAnsi="Calibri" w:cs="Calibri"/>
                <w:color w:val="000000"/>
                <w:sz w:val="18"/>
                <w:szCs w:val="18"/>
                <w:lang w:val="en-US" w:eastAsia="en-US"/>
              </w:rPr>
            </w:pPr>
          </w:p>
        </w:tc>
        <w:tc>
          <w:tcPr>
            <w:tcW w:w="1163" w:type="dxa"/>
            <w:gridSpan w:val="2"/>
            <w:tcBorders>
              <w:top w:val="single" w:sz="4" w:space="0" w:color="auto"/>
              <w:left w:val="nil"/>
              <w:bottom w:val="single" w:sz="4" w:space="0" w:color="auto"/>
              <w:right w:val="single" w:sz="4" w:space="0" w:color="auto"/>
            </w:tcBorders>
            <w:shd w:val="clear" w:color="auto" w:fill="auto"/>
            <w:noWrap/>
            <w:vAlign w:val="bottom"/>
            <w:hideMark/>
          </w:tcPr>
          <w:p w14:paraId="5F246FAA" w14:textId="77777777" w:rsidR="00676355" w:rsidRPr="00676355" w:rsidRDefault="00676355" w:rsidP="00676355">
            <w:pPr>
              <w:overflowPunct/>
              <w:autoSpaceDE/>
              <w:autoSpaceDN/>
              <w:adjustRightInd/>
              <w:spacing w:after="0"/>
              <w:jc w:val="center"/>
              <w:textAlignment w:val="auto"/>
              <w:rPr>
                <w:rFonts w:ascii="Calibri" w:hAnsi="Calibri" w:cs="Calibri"/>
                <w:color w:val="000000"/>
                <w:sz w:val="18"/>
                <w:szCs w:val="18"/>
                <w:lang w:val="en-US" w:eastAsia="en-US"/>
              </w:rPr>
            </w:pPr>
            <w:r w:rsidRPr="00676355">
              <w:rPr>
                <w:rFonts w:ascii="Calibri" w:hAnsi="Calibri" w:cs="Calibri"/>
                <w:color w:val="000000"/>
                <w:sz w:val="18"/>
                <w:szCs w:val="18"/>
                <w:lang w:val="en-US" w:eastAsia="en-US"/>
              </w:rPr>
              <w:t>OK/KO</w:t>
            </w:r>
          </w:p>
        </w:tc>
        <w:tc>
          <w:tcPr>
            <w:tcW w:w="429" w:type="dxa"/>
            <w:tcBorders>
              <w:top w:val="nil"/>
              <w:left w:val="nil"/>
              <w:bottom w:val="single" w:sz="4" w:space="0" w:color="auto"/>
              <w:right w:val="single" w:sz="4" w:space="0" w:color="auto"/>
            </w:tcBorders>
            <w:shd w:val="clear" w:color="000000" w:fill="92D050"/>
            <w:noWrap/>
            <w:vAlign w:val="bottom"/>
            <w:hideMark/>
          </w:tcPr>
          <w:p w14:paraId="13DCAA6C" w14:textId="77777777" w:rsidR="00676355" w:rsidRPr="00676355" w:rsidRDefault="00676355" w:rsidP="00676355">
            <w:pPr>
              <w:overflowPunct/>
              <w:autoSpaceDE/>
              <w:autoSpaceDN/>
              <w:adjustRightInd/>
              <w:spacing w:after="0"/>
              <w:textAlignment w:val="auto"/>
              <w:rPr>
                <w:rFonts w:ascii="Calibri" w:hAnsi="Calibri" w:cs="Calibri"/>
                <w:color w:val="000000"/>
                <w:sz w:val="18"/>
                <w:szCs w:val="18"/>
                <w:lang w:val="en-US" w:eastAsia="en-US"/>
              </w:rPr>
            </w:pPr>
            <w:r w:rsidRPr="00676355">
              <w:rPr>
                <w:rFonts w:ascii="Calibri" w:hAnsi="Calibri" w:cs="Calibri"/>
                <w:color w:val="000000"/>
                <w:sz w:val="18"/>
                <w:szCs w:val="18"/>
                <w:lang w:val="en-US" w:eastAsia="en-US"/>
              </w:rPr>
              <w:t>OK</w:t>
            </w:r>
          </w:p>
        </w:tc>
        <w:tc>
          <w:tcPr>
            <w:tcW w:w="1894" w:type="dxa"/>
            <w:tcBorders>
              <w:top w:val="single" w:sz="4" w:space="0" w:color="auto"/>
              <w:left w:val="nil"/>
              <w:bottom w:val="single" w:sz="4" w:space="0" w:color="auto"/>
              <w:right w:val="single" w:sz="4" w:space="0" w:color="000000"/>
            </w:tcBorders>
            <w:shd w:val="clear" w:color="000000" w:fill="92D050"/>
            <w:noWrap/>
            <w:vAlign w:val="bottom"/>
            <w:hideMark/>
          </w:tcPr>
          <w:p w14:paraId="1382A6A9" w14:textId="3BD08945" w:rsidR="00676355" w:rsidRPr="00676355" w:rsidRDefault="00676355" w:rsidP="00676355">
            <w:pPr>
              <w:overflowPunct/>
              <w:autoSpaceDE/>
              <w:autoSpaceDN/>
              <w:adjustRightInd/>
              <w:spacing w:after="0"/>
              <w:jc w:val="center"/>
              <w:textAlignment w:val="auto"/>
              <w:rPr>
                <w:rFonts w:ascii="Calibri" w:hAnsi="Calibri" w:cs="Calibri"/>
                <w:color w:val="000000"/>
                <w:sz w:val="18"/>
                <w:szCs w:val="18"/>
                <w:lang w:val="en-US" w:eastAsia="en-US"/>
              </w:rPr>
            </w:pPr>
            <w:r w:rsidRPr="00676355">
              <w:rPr>
                <w:rFonts w:ascii="Calibri" w:hAnsi="Calibri" w:cs="Calibri"/>
                <w:color w:val="000000"/>
                <w:sz w:val="18"/>
                <w:szCs w:val="18"/>
                <w:lang w:val="en-US" w:eastAsia="en-US"/>
              </w:rPr>
              <w:t>inner pass</w:t>
            </w:r>
            <w:r w:rsidR="00846195">
              <w:rPr>
                <w:rFonts w:ascii="Calibri" w:hAnsi="Calibri" w:cs="Calibri"/>
                <w:color w:val="000000"/>
                <w:sz w:val="18"/>
                <w:szCs w:val="18"/>
                <w:lang w:val="en-US" w:eastAsia="en-US"/>
              </w:rPr>
              <w:t xml:space="preserve"> = expected</w:t>
            </w:r>
          </w:p>
        </w:tc>
        <w:tc>
          <w:tcPr>
            <w:tcW w:w="519" w:type="dxa"/>
            <w:tcBorders>
              <w:top w:val="nil"/>
              <w:left w:val="nil"/>
              <w:bottom w:val="single" w:sz="4" w:space="0" w:color="auto"/>
              <w:right w:val="single" w:sz="4" w:space="0" w:color="auto"/>
            </w:tcBorders>
            <w:shd w:val="clear" w:color="000000" w:fill="00B050"/>
            <w:noWrap/>
            <w:vAlign w:val="bottom"/>
            <w:hideMark/>
          </w:tcPr>
          <w:p w14:paraId="1640686E" w14:textId="77777777" w:rsidR="00676355" w:rsidRPr="00676355" w:rsidRDefault="00676355" w:rsidP="00676355">
            <w:pPr>
              <w:overflowPunct/>
              <w:autoSpaceDE/>
              <w:autoSpaceDN/>
              <w:adjustRightInd/>
              <w:spacing w:after="0"/>
              <w:textAlignment w:val="auto"/>
              <w:rPr>
                <w:rFonts w:ascii="Calibri" w:hAnsi="Calibri" w:cs="Calibri"/>
                <w:color w:val="000000"/>
                <w:sz w:val="18"/>
                <w:szCs w:val="18"/>
                <w:lang w:val="en-US" w:eastAsia="en-US"/>
              </w:rPr>
            </w:pPr>
            <w:r w:rsidRPr="00676355">
              <w:rPr>
                <w:rFonts w:ascii="Calibri" w:hAnsi="Calibri" w:cs="Calibri"/>
                <w:color w:val="000000"/>
                <w:sz w:val="18"/>
                <w:szCs w:val="18"/>
                <w:lang w:val="en-US" w:eastAsia="en-US"/>
              </w:rPr>
              <w:t>OK+</w:t>
            </w:r>
          </w:p>
        </w:tc>
        <w:tc>
          <w:tcPr>
            <w:tcW w:w="1791" w:type="dxa"/>
            <w:tcBorders>
              <w:top w:val="single" w:sz="4" w:space="0" w:color="auto"/>
              <w:left w:val="nil"/>
              <w:bottom w:val="single" w:sz="4" w:space="0" w:color="auto"/>
              <w:right w:val="single" w:sz="4" w:space="0" w:color="000000"/>
            </w:tcBorders>
            <w:shd w:val="clear" w:color="000000" w:fill="00B050"/>
            <w:noWrap/>
            <w:vAlign w:val="bottom"/>
            <w:hideMark/>
          </w:tcPr>
          <w:p w14:paraId="3FF2FEEE" w14:textId="04EA8A7C" w:rsidR="00676355" w:rsidRPr="00676355" w:rsidRDefault="00676355" w:rsidP="00676355">
            <w:pPr>
              <w:overflowPunct/>
              <w:autoSpaceDE/>
              <w:autoSpaceDN/>
              <w:adjustRightInd/>
              <w:spacing w:after="0"/>
              <w:jc w:val="center"/>
              <w:textAlignment w:val="auto"/>
              <w:rPr>
                <w:rFonts w:ascii="Calibri" w:hAnsi="Calibri" w:cs="Calibri"/>
                <w:color w:val="000000"/>
                <w:sz w:val="18"/>
                <w:szCs w:val="18"/>
                <w:lang w:val="en-US" w:eastAsia="en-US"/>
              </w:rPr>
            </w:pPr>
            <w:r w:rsidRPr="00676355">
              <w:rPr>
                <w:rFonts w:ascii="Calibri" w:hAnsi="Calibri" w:cs="Calibri"/>
                <w:color w:val="000000"/>
                <w:sz w:val="18"/>
                <w:szCs w:val="18"/>
                <w:lang w:val="en-US" w:eastAsia="en-US"/>
              </w:rPr>
              <w:t>Outer pass</w:t>
            </w:r>
            <w:r w:rsidR="00846195">
              <w:rPr>
                <w:rFonts w:ascii="Calibri" w:hAnsi="Calibri" w:cs="Calibri"/>
                <w:color w:val="000000"/>
                <w:sz w:val="18"/>
                <w:szCs w:val="18"/>
                <w:lang w:val="en-US" w:eastAsia="en-US"/>
              </w:rPr>
              <w:t xml:space="preserve"> </w:t>
            </w:r>
            <w:r w:rsidRPr="00676355">
              <w:rPr>
                <w:rFonts w:ascii="Calibri" w:hAnsi="Calibri" w:cs="Calibri"/>
                <w:color w:val="000000"/>
                <w:sz w:val="18"/>
                <w:szCs w:val="18"/>
                <w:lang w:val="en-US" w:eastAsia="en-US"/>
              </w:rPr>
              <w:t>=</w:t>
            </w:r>
            <w:r w:rsidR="00846195">
              <w:rPr>
                <w:rFonts w:ascii="Calibri" w:hAnsi="Calibri" w:cs="Calibri"/>
                <w:color w:val="000000"/>
                <w:sz w:val="18"/>
                <w:szCs w:val="18"/>
                <w:lang w:val="en-US" w:eastAsia="en-US"/>
              </w:rPr>
              <w:t xml:space="preserve"> </w:t>
            </w:r>
            <w:r w:rsidRPr="00676355">
              <w:rPr>
                <w:rFonts w:ascii="Calibri" w:hAnsi="Calibri" w:cs="Calibri"/>
                <w:color w:val="000000"/>
                <w:sz w:val="18"/>
                <w:szCs w:val="18"/>
                <w:lang w:val="en-US" w:eastAsia="en-US"/>
              </w:rPr>
              <w:t>better</w:t>
            </w:r>
          </w:p>
        </w:tc>
        <w:tc>
          <w:tcPr>
            <w:tcW w:w="429" w:type="dxa"/>
            <w:tcBorders>
              <w:top w:val="nil"/>
              <w:left w:val="nil"/>
              <w:bottom w:val="single" w:sz="4" w:space="0" w:color="auto"/>
              <w:right w:val="single" w:sz="4" w:space="0" w:color="auto"/>
            </w:tcBorders>
            <w:shd w:val="clear" w:color="000000" w:fill="FFFF00"/>
            <w:noWrap/>
            <w:vAlign w:val="bottom"/>
            <w:hideMark/>
          </w:tcPr>
          <w:p w14:paraId="682AC86D" w14:textId="77777777" w:rsidR="00676355" w:rsidRPr="00676355" w:rsidRDefault="00676355" w:rsidP="00676355">
            <w:pPr>
              <w:overflowPunct/>
              <w:autoSpaceDE/>
              <w:autoSpaceDN/>
              <w:adjustRightInd/>
              <w:spacing w:after="0"/>
              <w:textAlignment w:val="auto"/>
              <w:rPr>
                <w:rFonts w:ascii="Calibri" w:hAnsi="Calibri" w:cs="Calibri"/>
                <w:color w:val="000000"/>
                <w:sz w:val="18"/>
                <w:szCs w:val="18"/>
                <w:lang w:val="en-US" w:eastAsia="en-US"/>
              </w:rPr>
            </w:pPr>
            <w:r w:rsidRPr="00676355">
              <w:rPr>
                <w:rFonts w:ascii="Calibri" w:hAnsi="Calibri" w:cs="Calibri"/>
                <w:color w:val="000000"/>
                <w:sz w:val="18"/>
                <w:szCs w:val="18"/>
                <w:lang w:val="en-US" w:eastAsia="en-US"/>
              </w:rPr>
              <w:t>KO</w:t>
            </w:r>
          </w:p>
        </w:tc>
        <w:tc>
          <w:tcPr>
            <w:tcW w:w="1775" w:type="dxa"/>
            <w:gridSpan w:val="2"/>
            <w:tcBorders>
              <w:top w:val="single" w:sz="4" w:space="0" w:color="auto"/>
              <w:left w:val="nil"/>
              <w:bottom w:val="single" w:sz="4" w:space="0" w:color="auto"/>
              <w:right w:val="single" w:sz="4" w:space="0" w:color="000000"/>
            </w:tcBorders>
            <w:shd w:val="clear" w:color="000000" w:fill="FFFF00"/>
            <w:noWrap/>
            <w:vAlign w:val="bottom"/>
            <w:hideMark/>
          </w:tcPr>
          <w:p w14:paraId="4C57E0E1" w14:textId="69C83ED8" w:rsidR="00676355" w:rsidRPr="00676355" w:rsidRDefault="00676355" w:rsidP="00676355">
            <w:pPr>
              <w:overflowPunct/>
              <w:autoSpaceDE/>
              <w:autoSpaceDN/>
              <w:adjustRightInd/>
              <w:spacing w:after="0"/>
              <w:jc w:val="center"/>
              <w:textAlignment w:val="auto"/>
              <w:rPr>
                <w:rFonts w:ascii="Calibri" w:hAnsi="Calibri" w:cs="Calibri"/>
                <w:color w:val="000000"/>
                <w:sz w:val="18"/>
                <w:szCs w:val="18"/>
                <w:lang w:val="en-US" w:eastAsia="en-US"/>
              </w:rPr>
            </w:pPr>
            <w:r w:rsidRPr="00676355">
              <w:rPr>
                <w:rFonts w:ascii="Calibri" w:hAnsi="Calibri" w:cs="Calibri"/>
                <w:color w:val="000000"/>
                <w:sz w:val="18"/>
                <w:szCs w:val="18"/>
                <w:lang w:val="en-US" w:eastAsia="en-US"/>
              </w:rPr>
              <w:t>outer fail=</w:t>
            </w:r>
            <w:r w:rsidR="00846195">
              <w:rPr>
                <w:rFonts w:ascii="Calibri" w:hAnsi="Calibri" w:cs="Calibri"/>
                <w:color w:val="000000"/>
                <w:sz w:val="18"/>
                <w:szCs w:val="18"/>
                <w:lang w:val="en-US" w:eastAsia="en-US"/>
              </w:rPr>
              <w:t xml:space="preserve"> expected</w:t>
            </w:r>
          </w:p>
        </w:tc>
      </w:tr>
      <w:tr w:rsidR="00676355" w:rsidRPr="00676355" w14:paraId="525785E7" w14:textId="77777777" w:rsidTr="00846195">
        <w:trPr>
          <w:trHeight w:val="70"/>
          <w:jc w:val="center"/>
        </w:trPr>
        <w:tc>
          <w:tcPr>
            <w:tcW w:w="448" w:type="dxa"/>
            <w:vMerge/>
            <w:tcBorders>
              <w:top w:val="nil"/>
              <w:left w:val="single" w:sz="4" w:space="0" w:color="auto"/>
              <w:bottom w:val="single" w:sz="4" w:space="0" w:color="auto"/>
              <w:right w:val="single" w:sz="4" w:space="0" w:color="auto"/>
            </w:tcBorders>
            <w:vAlign w:val="center"/>
            <w:hideMark/>
          </w:tcPr>
          <w:p w14:paraId="54128209" w14:textId="77777777" w:rsidR="00676355" w:rsidRPr="00676355" w:rsidRDefault="00676355" w:rsidP="00676355">
            <w:pPr>
              <w:overflowPunct/>
              <w:autoSpaceDE/>
              <w:autoSpaceDN/>
              <w:adjustRightInd/>
              <w:spacing w:after="0"/>
              <w:textAlignment w:val="auto"/>
              <w:rPr>
                <w:rFonts w:ascii="Calibri" w:hAnsi="Calibri" w:cs="Calibri"/>
                <w:color w:val="000000"/>
                <w:sz w:val="18"/>
                <w:szCs w:val="18"/>
                <w:lang w:val="en-US" w:eastAsia="en-US"/>
              </w:rPr>
            </w:pPr>
          </w:p>
        </w:tc>
        <w:tc>
          <w:tcPr>
            <w:tcW w:w="631"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65136A56" w14:textId="77777777" w:rsidR="00676355" w:rsidRPr="00676355" w:rsidRDefault="00676355" w:rsidP="00676355">
            <w:pPr>
              <w:overflowPunct/>
              <w:autoSpaceDE/>
              <w:autoSpaceDN/>
              <w:adjustRightInd/>
              <w:spacing w:after="0"/>
              <w:jc w:val="center"/>
              <w:textAlignment w:val="auto"/>
              <w:rPr>
                <w:rFonts w:ascii="Calibri" w:hAnsi="Calibri" w:cs="Calibri"/>
                <w:color w:val="000000"/>
                <w:sz w:val="18"/>
                <w:szCs w:val="18"/>
                <w:lang w:val="en-US" w:eastAsia="en-US"/>
              </w:rPr>
            </w:pPr>
            <w:r w:rsidRPr="00676355">
              <w:rPr>
                <w:rFonts w:ascii="Calibri" w:hAnsi="Calibri" w:cs="Calibri"/>
                <w:color w:val="000000"/>
                <w:sz w:val="18"/>
                <w:szCs w:val="18"/>
                <w:lang w:val="en-US" w:eastAsia="en-US"/>
              </w:rPr>
              <w:t>ACLR</w:t>
            </w:r>
          </w:p>
        </w:tc>
        <w:tc>
          <w:tcPr>
            <w:tcW w:w="532" w:type="dxa"/>
            <w:tcBorders>
              <w:top w:val="nil"/>
              <w:left w:val="nil"/>
              <w:bottom w:val="single" w:sz="4" w:space="0" w:color="auto"/>
              <w:right w:val="single" w:sz="4" w:space="0" w:color="auto"/>
            </w:tcBorders>
            <w:shd w:val="clear" w:color="auto" w:fill="auto"/>
            <w:noWrap/>
            <w:vAlign w:val="bottom"/>
            <w:hideMark/>
          </w:tcPr>
          <w:p w14:paraId="34E341A1" w14:textId="77777777" w:rsidR="00676355" w:rsidRPr="00676355" w:rsidRDefault="00676355" w:rsidP="00676355">
            <w:pPr>
              <w:overflowPunct/>
              <w:autoSpaceDE/>
              <w:autoSpaceDN/>
              <w:adjustRightInd/>
              <w:spacing w:after="0"/>
              <w:textAlignment w:val="auto"/>
              <w:rPr>
                <w:rFonts w:ascii="Calibri" w:hAnsi="Calibri" w:cs="Calibri"/>
                <w:color w:val="000000"/>
                <w:sz w:val="18"/>
                <w:szCs w:val="18"/>
                <w:lang w:val="en-US" w:eastAsia="en-US"/>
              </w:rPr>
            </w:pPr>
            <w:r w:rsidRPr="00676355">
              <w:rPr>
                <w:rFonts w:ascii="Calibri" w:hAnsi="Calibri" w:cs="Calibri"/>
                <w:color w:val="000000"/>
                <w:sz w:val="18"/>
                <w:szCs w:val="18"/>
                <w:lang w:val="en-US" w:eastAsia="en-US"/>
              </w:rPr>
              <w:t>low</w:t>
            </w:r>
          </w:p>
        </w:tc>
        <w:tc>
          <w:tcPr>
            <w:tcW w:w="5072" w:type="dxa"/>
            <w:gridSpan w:val="6"/>
            <w:tcBorders>
              <w:top w:val="single" w:sz="4" w:space="0" w:color="auto"/>
              <w:left w:val="nil"/>
              <w:bottom w:val="single" w:sz="4" w:space="0" w:color="auto"/>
              <w:right w:val="single" w:sz="4" w:space="0" w:color="auto"/>
            </w:tcBorders>
            <w:shd w:val="clear" w:color="auto" w:fill="auto"/>
            <w:noWrap/>
            <w:vAlign w:val="bottom"/>
            <w:hideMark/>
          </w:tcPr>
          <w:p w14:paraId="0D5995E8" w14:textId="77777777" w:rsidR="00676355" w:rsidRPr="00676355" w:rsidRDefault="00676355" w:rsidP="006763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676355">
              <w:rPr>
                <w:rFonts w:asciiTheme="minorHAnsi" w:hAnsiTheme="minorHAnsi" w:cstheme="minorHAnsi"/>
                <w:color w:val="000000"/>
                <w:sz w:val="18"/>
                <w:szCs w:val="18"/>
                <w:lang w:val="en-US" w:eastAsia="en-US"/>
              </w:rPr>
              <w:t>Lower ACLR margin</w:t>
            </w:r>
          </w:p>
        </w:tc>
        <w:tc>
          <w:tcPr>
            <w:tcW w:w="1765" w:type="dxa"/>
            <w:tcBorders>
              <w:top w:val="single" w:sz="4" w:space="0" w:color="auto"/>
              <w:left w:val="nil"/>
              <w:bottom w:val="single" w:sz="4" w:space="0" w:color="auto"/>
              <w:right w:val="single" w:sz="4" w:space="0" w:color="000000"/>
            </w:tcBorders>
            <w:shd w:val="clear" w:color="000000" w:fill="FFC000"/>
            <w:noWrap/>
            <w:vAlign w:val="bottom"/>
            <w:hideMark/>
          </w:tcPr>
          <w:p w14:paraId="40D8A5A5" w14:textId="77777777" w:rsidR="00676355" w:rsidRPr="00676355" w:rsidRDefault="00676355" w:rsidP="00676355">
            <w:pPr>
              <w:overflowPunct/>
              <w:autoSpaceDE/>
              <w:autoSpaceDN/>
              <w:adjustRightInd/>
              <w:spacing w:after="0"/>
              <w:jc w:val="center"/>
              <w:textAlignment w:val="auto"/>
              <w:rPr>
                <w:rFonts w:ascii="Calibri" w:hAnsi="Calibri" w:cs="Calibri"/>
                <w:color w:val="000000"/>
                <w:sz w:val="18"/>
                <w:szCs w:val="18"/>
                <w:lang w:val="en-US" w:eastAsia="en-US"/>
              </w:rPr>
            </w:pPr>
            <w:r w:rsidRPr="00676355">
              <w:rPr>
                <w:rFonts w:ascii="Calibri" w:hAnsi="Calibri" w:cs="Calibri"/>
                <w:color w:val="000000"/>
                <w:sz w:val="18"/>
                <w:szCs w:val="18"/>
                <w:lang w:val="en-US" w:eastAsia="en-US"/>
              </w:rPr>
              <w:t>fail</w:t>
            </w:r>
          </w:p>
        </w:tc>
      </w:tr>
      <w:tr w:rsidR="00676355" w:rsidRPr="00676355" w14:paraId="1507DD58" w14:textId="77777777" w:rsidTr="00846195">
        <w:trPr>
          <w:trHeight w:val="70"/>
          <w:jc w:val="center"/>
        </w:trPr>
        <w:tc>
          <w:tcPr>
            <w:tcW w:w="448" w:type="dxa"/>
            <w:vMerge/>
            <w:tcBorders>
              <w:top w:val="nil"/>
              <w:left w:val="single" w:sz="4" w:space="0" w:color="auto"/>
              <w:bottom w:val="single" w:sz="4" w:space="0" w:color="auto"/>
              <w:right w:val="single" w:sz="4" w:space="0" w:color="auto"/>
            </w:tcBorders>
            <w:vAlign w:val="center"/>
            <w:hideMark/>
          </w:tcPr>
          <w:p w14:paraId="02B8DC64" w14:textId="77777777" w:rsidR="00676355" w:rsidRPr="00676355" w:rsidRDefault="00676355" w:rsidP="00676355">
            <w:pPr>
              <w:overflowPunct/>
              <w:autoSpaceDE/>
              <w:autoSpaceDN/>
              <w:adjustRightInd/>
              <w:spacing w:after="0"/>
              <w:textAlignment w:val="auto"/>
              <w:rPr>
                <w:rFonts w:ascii="Calibri" w:hAnsi="Calibri" w:cs="Calibri"/>
                <w:color w:val="000000"/>
                <w:sz w:val="18"/>
                <w:szCs w:val="18"/>
                <w:lang w:val="en-US" w:eastAsia="en-US"/>
              </w:rPr>
            </w:pPr>
          </w:p>
        </w:tc>
        <w:tc>
          <w:tcPr>
            <w:tcW w:w="631" w:type="dxa"/>
            <w:vMerge/>
            <w:tcBorders>
              <w:top w:val="nil"/>
              <w:left w:val="single" w:sz="4" w:space="0" w:color="auto"/>
              <w:bottom w:val="single" w:sz="4" w:space="0" w:color="auto"/>
              <w:right w:val="single" w:sz="4" w:space="0" w:color="auto"/>
            </w:tcBorders>
            <w:vAlign w:val="center"/>
            <w:hideMark/>
          </w:tcPr>
          <w:p w14:paraId="08EBAA45" w14:textId="77777777" w:rsidR="00676355" w:rsidRPr="00676355" w:rsidRDefault="00676355" w:rsidP="00676355">
            <w:pPr>
              <w:overflowPunct/>
              <w:autoSpaceDE/>
              <w:autoSpaceDN/>
              <w:adjustRightInd/>
              <w:spacing w:after="0"/>
              <w:textAlignment w:val="auto"/>
              <w:rPr>
                <w:rFonts w:ascii="Calibri" w:hAnsi="Calibri" w:cs="Calibri"/>
                <w:color w:val="000000"/>
                <w:sz w:val="18"/>
                <w:szCs w:val="18"/>
                <w:lang w:val="en-US" w:eastAsia="en-US"/>
              </w:rPr>
            </w:pPr>
          </w:p>
        </w:tc>
        <w:tc>
          <w:tcPr>
            <w:tcW w:w="532" w:type="dxa"/>
            <w:tcBorders>
              <w:top w:val="nil"/>
              <w:left w:val="nil"/>
              <w:bottom w:val="single" w:sz="4" w:space="0" w:color="auto"/>
              <w:right w:val="single" w:sz="4" w:space="0" w:color="auto"/>
            </w:tcBorders>
            <w:shd w:val="clear" w:color="auto" w:fill="auto"/>
            <w:noWrap/>
            <w:vAlign w:val="bottom"/>
            <w:hideMark/>
          </w:tcPr>
          <w:p w14:paraId="53EFC68D" w14:textId="77777777" w:rsidR="00676355" w:rsidRPr="00676355" w:rsidRDefault="00676355" w:rsidP="00676355">
            <w:pPr>
              <w:overflowPunct/>
              <w:autoSpaceDE/>
              <w:autoSpaceDN/>
              <w:adjustRightInd/>
              <w:spacing w:after="0"/>
              <w:textAlignment w:val="auto"/>
              <w:rPr>
                <w:rFonts w:ascii="Calibri" w:hAnsi="Calibri" w:cs="Calibri"/>
                <w:color w:val="000000"/>
                <w:sz w:val="18"/>
                <w:szCs w:val="18"/>
                <w:lang w:val="en-US" w:eastAsia="en-US"/>
              </w:rPr>
            </w:pPr>
            <w:r w:rsidRPr="00676355">
              <w:rPr>
                <w:rFonts w:ascii="Calibri" w:hAnsi="Calibri" w:cs="Calibri"/>
                <w:color w:val="000000"/>
                <w:sz w:val="18"/>
                <w:szCs w:val="18"/>
                <w:lang w:val="en-US" w:eastAsia="en-US"/>
              </w:rPr>
              <w:t>high</w:t>
            </w:r>
          </w:p>
        </w:tc>
        <w:tc>
          <w:tcPr>
            <w:tcW w:w="5072" w:type="dxa"/>
            <w:gridSpan w:val="6"/>
            <w:tcBorders>
              <w:top w:val="single" w:sz="4" w:space="0" w:color="auto"/>
              <w:left w:val="nil"/>
              <w:bottom w:val="single" w:sz="4" w:space="0" w:color="auto"/>
              <w:right w:val="single" w:sz="4" w:space="0" w:color="auto"/>
            </w:tcBorders>
            <w:shd w:val="clear" w:color="auto" w:fill="auto"/>
            <w:noWrap/>
            <w:vAlign w:val="bottom"/>
            <w:hideMark/>
          </w:tcPr>
          <w:p w14:paraId="30A0E382" w14:textId="77777777" w:rsidR="00676355" w:rsidRPr="00676355" w:rsidRDefault="00676355" w:rsidP="006763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676355">
              <w:rPr>
                <w:rFonts w:asciiTheme="minorHAnsi" w:hAnsiTheme="minorHAnsi" w:cstheme="minorHAnsi"/>
                <w:color w:val="000000"/>
                <w:sz w:val="18"/>
                <w:szCs w:val="18"/>
                <w:lang w:val="en-US" w:eastAsia="en-US"/>
              </w:rPr>
              <w:t>Higher ACLR margin</w:t>
            </w:r>
          </w:p>
        </w:tc>
        <w:tc>
          <w:tcPr>
            <w:tcW w:w="1765" w:type="dxa"/>
            <w:tcBorders>
              <w:top w:val="single" w:sz="4" w:space="0" w:color="auto"/>
              <w:left w:val="nil"/>
              <w:bottom w:val="single" w:sz="4" w:space="0" w:color="auto"/>
              <w:right w:val="single" w:sz="4" w:space="0" w:color="000000"/>
            </w:tcBorders>
            <w:shd w:val="clear" w:color="000000" w:fill="FFFF00"/>
            <w:noWrap/>
            <w:vAlign w:val="bottom"/>
            <w:hideMark/>
          </w:tcPr>
          <w:p w14:paraId="2744CA0B" w14:textId="77777777" w:rsidR="00676355" w:rsidRPr="00676355" w:rsidRDefault="00676355" w:rsidP="00676355">
            <w:pPr>
              <w:overflowPunct/>
              <w:autoSpaceDE/>
              <w:autoSpaceDN/>
              <w:adjustRightInd/>
              <w:spacing w:after="0"/>
              <w:jc w:val="center"/>
              <w:textAlignment w:val="auto"/>
              <w:rPr>
                <w:rFonts w:ascii="Calibri" w:hAnsi="Calibri" w:cs="Calibri"/>
                <w:color w:val="000000"/>
                <w:sz w:val="18"/>
                <w:szCs w:val="18"/>
                <w:lang w:val="en-US" w:eastAsia="en-US"/>
              </w:rPr>
            </w:pPr>
            <w:r w:rsidRPr="00676355">
              <w:rPr>
                <w:rFonts w:ascii="Calibri" w:hAnsi="Calibri" w:cs="Calibri"/>
                <w:color w:val="000000"/>
                <w:sz w:val="18"/>
                <w:szCs w:val="18"/>
                <w:lang w:val="en-US" w:eastAsia="en-US"/>
              </w:rPr>
              <w:t>marginal</w:t>
            </w:r>
          </w:p>
        </w:tc>
      </w:tr>
      <w:tr w:rsidR="00676355" w:rsidRPr="00676355" w14:paraId="2466ECE1" w14:textId="77777777" w:rsidTr="00846195">
        <w:trPr>
          <w:trHeight w:val="70"/>
          <w:jc w:val="center"/>
        </w:trPr>
        <w:tc>
          <w:tcPr>
            <w:tcW w:w="448" w:type="dxa"/>
            <w:vMerge/>
            <w:tcBorders>
              <w:top w:val="nil"/>
              <w:left w:val="single" w:sz="4" w:space="0" w:color="auto"/>
              <w:bottom w:val="single" w:sz="4" w:space="0" w:color="auto"/>
              <w:right w:val="single" w:sz="4" w:space="0" w:color="auto"/>
            </w:tcBorders>
            <w:vAlign w:val="center"/>
            <w:hideMark/>
          </w:tcPr>
          <w:p w14:paraId="69C3282C" w14:textId="77777777" w:rsidR="00676355" w:rsidRPr="00676355" w:rsidRDefault="00676355" w:rsidP="00676355">
            <w:pPr>
              <w:overflowPunct/>
              <w:autoSpaceDE/>
              <w:autoSpaceDN/>
              <w:adjustRightInd/>
              <w:spacing w:after="0"/>
              <w:textAlignment w:val="auto"/>
              <w:rPr>
                <w:rFonts w:ascii="Calibri" w:hAnsi="Calibri" w:cs="Calibri"/>
                <w:color w:val="000000"/>
                <w:sz w:val="18"/>
                <w:szCs w:val="18"/>
                <w:lang w:val="en-US" w:eastAsia="en-US"/>
              </w:rPr>
            </w:pPr>
          </w:p>
        </w:tc>
        <w:tc>
          <w:tcPr>
            <w:tcW w:w="631" w:type="dxa"/>
            <w:vMerge w:val="restart"/>
            <w:tcBorders>
              <w:top w:val="nil"/>
              <w:left w:val="single" w:sz="4" w:space="0" w:color="auto"/>
              <w:bottom w:val="single" w:sz="4" w:space="0" w:color="auto"/>
              <w:right w:val="single" w:sz="4" w:space="0" w:color="auto"/>
            </w:tcBorders>
            <w:shd w:val="clear" w:color="auto" w:fill="auto"/>
            <w:vAlign w:val="bottom"/>
            <w:hideMark/>
          </w:tcPr>
          <w:p w14:paraId="7EE90A74" w14:textId="77777777" w:rsidR="00676355" w:rsidRPr="00676355" w:rsidRDefault="00676355" w:rsidP="00676355">
            <w:pPr>
              <w:overflowPunct/>
              <w:autoSpaceDE/>
              <w:autoSpaceDN/>
              <w:adjustRightInd/>
              <w:spacing w:after="0"/>
              <w:jc w:val="center"/>
              <w:textAlignment w:val="auto"/>
              <w:rPr>
                <w:rFonts w:ascii="Calibri" w:hAnsi="Calibri" w:cs="Calibri"/>
                <w:color w:val="000000"/>
                <w:sz w:val="18"/>
                <w:szCs w:val="18"/>
                <w:lang w:val="en-US" w:eastAsia="en-US"/>
              </w:rPr>
            </w:pPr>
            <w:r w:rsidRPr="00676355">
              <w:rPr>
                <w:rFonts w:ascii="Calibri" w:hAnsi="Calibri" w:cs="Calibri"/>
                <w:color w:val="000000"/>
                <w:sz w:val="18"/>
                <w:szCs w:val="18"/>
                <w:lang w:val="en-US" w:eastAsia="en-US"/>
              </w:rPr>
              <w:t>SEM+</w:t>
            </w:r>
            <w:r w:rsidRPr="00676355">
              <w:rPr>
                <w:rFonts w:ascii="Calibri" w:hAnsi="Calibri" w:cs="Calibri"/>
                <w:color w:val="000000"/>
                <w:sz w:val="18"/>
                <w:szCs w:val="18"/>
                <w:lang w:val="en-US" w:eastAsia="en-US"/>
              </w:rPr>
              <w:br/>
              <w:t>SPUR</w:t>
            </w:r>
          </w:p>
        </w:tc>
        <w:tc>
          <w:tcPr>
            <w:tcW w:w="532" w:type="dxa"/>
            <w:tcBorders>
              <w:top w:val="nil"/>
              <w:left w:val="nil"/>
              <w:bottom w:val="single" w:sz="4" w:space="0" w:color="auto"/>
              <w:right w:val="single" w:sz="4" w:space="0" w:color="auto"/>
            </w:tcBorders>
            <w:shd w:val="clear" w:color="auto" w:fill="auto"/>
            <w:noWrap/>
            <w:vAlign w:val="bottom"/>
            <w:hideMark/>
          </w:tcPr>
          <w:p w14:paraId="4D43089D" w14:textId="77777777" w:rsidR="00676355" w:rsidRPr="00676355" w:rsidRDefault="00676355" w:rsidP="00676355">
            <w:pPr>
              <w:overflowPunct/>
              <w:autoSpaceDE/>
              <w:autoSpaceDN/>
              <w:adjustRightInd/>
              <w:spacing w:after="0"/>
              <w:textAlignment w:val="auto"/>
              <w:rPr>
                <w:rFonts w:ascii="Calibri" w:hAnsi="Calibri" w:cs="Calibri"/>
                <w:color w:val="000000"/>
                <w:sz w:val="18"/>
                <w:szCs w:val="18"/>
                <w:lang w:val="en-US" w:eastAsia="en-US"/>
              </w:rPr>
            </w:pPr>
            <w:r w:rsidRPr="00676355">
              <w:rPr>
                <w:rFonts w:ascii="Calibri" w:hAnsi="Calibri" w:cs="Calibri"/>
                <w:color w:val="000000"/>
                <w:sz w:val="18"/>
                <w:szCs w:val="18"/>
                <w:lang w:val="en-US" w:eastAsia="en-US"/>
              </w:rPr>
              <w:t>low</w:t>
            </w:r>
          </w:p>
        </w:tc>
        <w:tc>
          <w:tcPr>
            <w:tcW w:w="5072" w:type="dxa"/>
            <w:gridSpan w:val="6"/>
            <w:tcBorders>
              <w:top w:val="single" w:sz="4" w:space="0" w:color="auto"/>
              <w:left w:val="nil"/>
              <w:bottom w:val="single" w:sz="4" w:space="0" w:color="auto"/>
              <w:right w:val="single" w:sz="4" w:space="0" w:color="auto"/>
            </w:tcBorders>
            <w:shd w:val="clear" w:color="auto" w:fill="auto"/>
            <w:noWrap/>
            <w:vAlign w:val="bottom"/>
            <w:hideMark/>
          </w:tcPr>
          <w:p w14:paraId="1FAE4E45" w14:textId="77777777" w:rsidR="00676355" w:rsidRPr="00676355" w:rsidRDefault="00676355" w:rsidP="006763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676355">
              <w:rPr>
                <w:rFonts w:asciiTheme="minorHAnsi" w:hAnsiTheme="minorHAnsi" w:cstheme="minorHAnsi"/>
                <w:color w:val="000000"/>
                <w:sz w:val="18"/>
                <w:szCs w:val="18"/>
                <w:lang w:val="en-US" w:eastAsia="en-US"/>
              </w:rPr>
              <w:t xml:space="preserve">Lower </w:t>
            </w:r>
            <w:proofErr w:type="spellStart"/>
            <w:r w:rsidRPr="00676355">
              <w:rPr>
                <w:rFonts w:asciiTheme="minorHAnsi" w:hAnsiTheme="minorHAnsi" w:cstheme="minorHAnsi"/>
                <w:color w:val="000000"/>
                <w:sz w:val="18"/>
                <w:szCs w:val="18"/>
                <w:lang w:val="en-US" w:eastAsia="en-US"/>
              </w:rPr>
              <w:t>SEM+Spurious</w:t>
            </w:r>
            <w:proofErr w:type="spellEnd"/>
            <w:r w:rsidRPr="00676355">
              <w:rPr>
                <w:rFonts w:asciiTheme="minorHAnsi" w:hAnsiTheme="minorHAnsi" w:cstheme="minorHAnsi"/>
                <w:color w:val="000000"/>
                <w:sz w:val="18"/>
                <w:szCs w:val="18"/>
                <w:lang w:val="en-US" w:eastAsia="en-US"/>
              </w:rPr>
              <w:t xml:space="preserve"> </w:t>
            </w:r>
            <w:proofErr w:type="spellStart"/>
            <w:r w:rsidRPr="00676355">
              <w:rPr>
                <w:rFonts w:asciiTheme="minorHAnsi" w:hAnsiTheme="minorHAnsi" w:cstheme="minorHAnsi"/>
                <w:color w:val="000000"/>
                <w:sz w:val="18"/>
                <w:szCs w:val="18"/>
                <w:lang w:val="en-US" w:eastAsia="en-US"/>
              </w:rPr>
              <w:t>emissons</w:t>
            </w:r>
            <w:proofErr w:type="spellEnd"/>
            <w:r w:rsidRPr="00676355">
              <w:rPr>
                <w:rFonts w:asciiTheme="minorHAnsi" w:hAnsiTheme="minorHAnsi" w:cstheme="minorHAnsi"/>
                <w:color w:val="000000"/>
                <w:sz w:val="18"/>
                <w:szCs w:val="18"/>
                <w:lang w:val="en-US" w:eastAsia="en-US"/>
              </w:rPr>
              <w:t xml:space="preserve"> margin</w:t>
            </w:r>
          </w:p>
        </w:tc>
        <w:tc>
          <w:tcPr>
            <w:tcW w:w="1765" w:type="dxa"/>
            <w:tcBorders>
              <w:top w:val="single" w:sz="4" w:space="0" w:color="auto"/>
              <w:left w:val="nil"/>
              <w:bottom w:val="single" w:sz="4" w:space="0" w:color="auto"/>
              <w:right w:val="single" w:sz="4" w:space="0" w:color="000000"/>
            </w:tcBorders>
            <w:shd w:val="clear" w:color="000000" w:fill="92D050"/>
            <w:noWrap/>
            <w:vAlign w:val="bottom"/>
            <w:hideMark/>
          </w:tcPr>
          <w:p w14:paraId="7CFD81BB" w14:textId="5048F5C7" w:rsidR="00676355" w:rsidRPr="00676355" w:rsidRDefault="00676355" w:rsidP="00676355">
            <w:pPr>
              <w:overflowPunct/>
              <w:autoSpaceDE/>
              <w:autoSpaceDN/>
              <w:adjustRightInd/>
              <w:spacing w:after="0"/>
              <w:jc w:val="center"/>
              <w:textAlignment w:val="auto"/>
              <w:rPr>
                <w:rFonts w:ascii="Calibri" w:hAnsi="Calibri" w:cs="Calibri"/>
                <w:color w:val="000000"/>
                <w:sz w:val="18"/>
                <w:szCs w:val="18"/>
                <w:lang w:val="en-US" w:eastAsia="en-US"/>
              </w:rPr>
            </w:pPr>
            <w:r w:rsidRPr="00676355">
              <w:rPr>
                <w:rFonts w:ascii="Calibri" w:hAnsi="Calibri" w:cs="Calibri"/>
                <w:color w:val="000000"/>
                <w:sz w:val="18"/>
                <w:szCs w:val="18"/>
                <w:lang w:val="en-US" w:eastAsia="en-US"/>
              </w:rPr>
              <w:t>Small</w:t>
            </w:r>
            <w:r>
              <w:rPr>
                <w:rFonts w:ascii="Calibri" w:hAnsi="Calibri" w:cs="Calibri"/>
                <w:color w:val="000000"/>
                <w:sz w:val="18"/>
                <w:szCs w:val="18"/>
                <w:lang w:val="en-US" w:eastAsia="en-US"/>
              </w:rPr>
              <w:t xml:space="preserve"> margin</w:t>
            </w:r>
          </w:p>
        </w:tc>
      </w:tr>
      <w:tr w:rsidR="00676355" w:rsidRPr="00676355" w14:paraId="008A7DA7" w14:textId="77777777" w:rsidTr="00846195">
        <w:trPr>
          <w:trHeight w:val="70"/>
          <w:jc w:val="center"/>
        </w:trPr>
        <w:tc>
          <w:tcPr>
            <w:tcW w:w="448" w:type="dxa"/>
            <w:vMerge/>
            <w:tcBorders>
              <w:top w:val="nil"/>
              <w:left w:val="single" w:sz="4" w:space="0" w:color="auto"/>
              <w:bottom w:val="single" w:sz="4" w:space="0" w:color="auto"/>
              <w:right w:val="single" w:sz="4" w:space="0" w:color="auto"/>
            </w:tcBorders>
            <w:vAlign w:val="center"/>
            <w:hideMark/>
          </w:tcPr>
          <w:p w14:paraId="1B9A36A7" w14:textId="77777777" w:rsidR="00676355" w:rsidRPr="00676355" w:rsidRDefault="00676355" w:rsidP="00676355">
            <w:pPr>
              <w:overflowPunct/>
              <w:autoSpaceDE/>
              <w:autoSpaceDN/>
              <w:adjustRightInd/>
              <w:spacing w:after="0"/>
              <w:textAlignment w:val="auto"/>
              <w:rPr>
                <w:rFonts w:ascii="Calibri" w:hAnsi="Calibri" w:cs="Calibri"/>
                <w:color w:val="000000"/>
                <w:sz w:val="18"/>
                <w:szCs w:val="18"/>
                <w:lang w:val="en-US" w:eastAsia="en-US"/>
              </w:rPr>
            </w:pPr>
          </w:p>
        </w:tc>
        <w:tc>
          <w:tcPr>
            <w:tcW w:w="631" w:type="dxa"/>
            <w:vMerge/>
            <w:tcBorders>
              <w:top w:val="nil"/>
              <w:left w:val="single" w:sz="4" w:space="0" w:color="auto"/>
              <w:bottom w:val="single" w:sz="4" w:space="0" w:color="auto"/>
              <w:right w:val="single" w:sz="4" w:space="0" w:color="auto"/>
            </w:tcBorders>
            <w:vAlign w:val="center"/>
            <w:hideMark/>
          </w:tcPr>
          <w:p w14:paraId="062F6004" w14:textId="77777777" w:rsidR="00676355" w:rsidRPr="00676355" w:rsidRDefault="00676355" w:rsidP="00676355">
            <w:pPr>
              <w:overflowPunct/>
              <w:autoSpaceDE/>
              <w:autoSpaceDN/>
              <w:adjustRightInd/>
              <w:spacing w:after="0"/>
              <w:textAlignment w:val="auto"/>
              <w:rPr>
                <w:rFonts w:ascii="Calibri" w:hAnsi="Calibri" w:cs="Calibri"/>
                <w:color w:val="000000"/>
                <w:sz w:val="18"/>
                <w:szCs w:val="18"/>
                <w:lang w:val="en-US" w:eastAsia="en-US"/>
              </w:rPr>
            </w:pPr>
          </w:p>
        </w:tc>
        <w:tc>
          <w:tcPr>
            <w:tcW w:w="532" w:type="dxa"/>
            <w:tcBorders>
              <w:top w:val="nil"/>
              <w:left w:val="nil"/>
              <w:bottom w:val="single" w:sz="4" w:space="0" w:color="auto"/>
              <w:right w:val="single" w:sz="4" w:space="0" w:color="auto"/>
            </w:tcBorders>
            <w:shd w:val="clear" w:color="auto" w:fill="auto"/>
            <w:noWrap/>
            <w:vAlign w:val="bottom"/>
            <w:hideMark/>
          </w:tcPr>
          <w:p w14:paraId="62832788" w14:textId="77777777" w:rsidR="00676355" w:rsidRPr="00676355" w:rsidRDefault="00676355" w:rsidP="00676355">
            <w:pPr>
              <w:overflowPunct/>
              <w:autoSpaceDE/>
              <w:autoSpaceDN/>
              <w:adjustRightInd/>
              <w:spacing w:after="0"/>
              <w:textAlignment w:val="auto"/>
              <w:rPr>
                <w:rFonts w:ascii="Calibri" w:hAnsi="Calibri" w:cs="Calibri"/>
                <w:color w:val="000000"/>
                <w:sz w:val="18"/>
                <w:szCs w:val="18"/>
                <w:lang w:val="en-US" w:eastAsia="en-US"/>
              </w:rPr>
            </w:pPr>
            <w:r w:rsidRPr="00676355">
              <w:rPr>
                <w:rFonts w:ascii="Calibri" w:hAnsi="Calibri" w:cs="Calibri"/>
                <w:color w:val="000000"/>
                <w:sz w:val="18"/>
                <w:szCs w:val="18"/>
                <w:lang w:val="en-US" w:eastAsia="en-US"/>
              </w:rPr>
              <w:t>high</w:t>
            </w:r>
          </w:p>
        </w:tc>
        <w:tc>
          <w:tcPr>
            <w:tcW w:w="5072" w:type="dxa"/>
            <w:gridSpan w:val="6"/>
            <w:tcBorders>
              <w:top w:val="single" w:sz="4" w:space="0" w:color="auto"/>
              <w:left w:val="nil"/>
              <w:bottom w:val="single" w:sz="4" w:space="0" w:color="auto"/>
              <w:right w:val="single" w:sz="4" w:space="0" w:color="auto"/>
            </w:tcBorders>
            <w:shd w:val="clear" w:color="auto" w:fill="auto"/>
            <w:noWrap/>
            <w:vAlign w:val="bottom"/>
            <w:hideMark/>
          </w:tcPr>
          <w:p w14:paraId="5C908171" w14:textId="77777777" w:rsidR="00676355" w:rsidRPr="00676355" w:rsidRDefault="00676355" w:rsidP="006763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676355">
              <w:rPr>
                <w:rFonts w:asciiTheme="minorHAnsi" w:hAnsiTheme="minorHAnsi" w:cstheme="minorHAnsi"/>
                <w:color w:val="000000"/>
                <w:sz w:val="18"/>
                <w:szCs w:val="18"/>
                <w:lang w:val="en-US" w:eastAsia="en-US"/>
              </w:rPr>
              <w:t xml:space="preserve">Higher </w:t>
            </w:r>
            <w:proofErr w:type="spellStart"/>
            <w:r w:rsidRPr="00676355">
              <w:rPr>
                <w:rFonts w:asciiTheme="minorHAnsi" w:hAnsiTheme="minorHAnsi" w:cstheme="minorHAnsi"/>
                <w:color w:val="000000"/>
                <w:sz w:val="18"/>
                <w:szCs w:val="18"/>
                <w:lang w:val="en-US" w:eastAsia="en-US"/>
              </w:rPr>
              <w:t>SEM+Spurious</w:t>
            </w:r>
            <w:proofErr w:type="spellEnd"/>
            <w:r w:rsidRPr="00676355">
              <w:rPr>
                <w:rFonts w:asciiTheme="minorHAnsi" w:hAnsiTheme="minorHAnsi" w:cstheme="minorHAnsi"/>
                <w:color w:val="000000"/>
                <w:sz w:val="18"/>
                <w:szCs w:val="18"/>
                <w:lang w:val="en-US" w:eastAsia="en-US"/>
              </w:rPr>
              <w:t xml:space="preserve"> </w:t>
            </w:r>
            <w:proofErr w:type="spellStart"/>
            <w:r w:rsidRPr="00676355">
              <w:rPr>
                <w:rFonts w:asciiTheme="minorHAnsi" w:hAnsiTheme="minorHAnsi" w:cstheme="minorHAnsi"/>
                <w:color w:val="000000"/>
                <w:sz w:val="18"/>
                <w:szCs w:val="18"/>
                <w:lang w:val="en-US" w:eastAsia="en-US"/>
              </w:rPr>
              <w:t>emissons</w:t>
            </w:r>
            <w:proofErr w:type="spellEnd"/>
            <w:r w:rsidRPr="00676355">
              <w:rPr>
                <w:rFonts w:asciiTheme="minorHAnsi" w:hAnsiTheme="minorHAnsi" w:cstheme="minorHAnsi"/>
                <w:color w:val="000000"/>
                <w:sz w:val="18"/>
                <w:szCs w:val="18"/>
                <w:lang w:val="en-US" w:eastAsia="en-US"/>
              </w:rPr>
              <w:t xml:space="preserve"> margin</w:t>
            </w:r>
          </w:p>
        </w:tc>
        <w:tc>
          <w:tcPr>
            <w:tcW w:w="1765" w:type="dxa"/>
            <w:tcBorders>
              <w:top w:val="single" w:sz="4" w:space="0" w:color="auto"/>
              <w:left w:val="nil"/>
              <w:bottom w:val="single" w:sz="4" w:space="0" w:color="auto"/>
              <w:right w:val="single" w:sz="4" w:space="0" w:color="000000"/>
            </w:tcBorders>
            <w:shd w:val="clear" w:color="000000" w:fill="00B050"/>
            <w:noWrap/>
            <w:vAlign w:val="bottom"/>
            <w:hideMark/>
          </w:tcPr>
          <w:p w14:paraId="2EC2C19D" w14:textId="7FBDC7E6" w:rsidR="00676355" w:rsidRPr="00676355" w:rsidRDefault="00676355" w:rsidP="00676355">
            <w:pPr>
              <w:overflowPunct/>
              <w:autoSpaceDE/>
              <w:autoSpaceDN/>
              <w:adjustRightInd/>
              <w:spacing w:after="0"/>
              <w:jc w:val="center"/>
              <w:textAlignment w:val="auto"/>
              <w:rPr>
                <w:rFonts w:ascii="Calibri" w:hAnsi="Calibri" w:cs="Calibri"/>
                <w:color w:val="000000"/>
                <w:sz w:val="18"/>
                <w:szCs w:val="18"/>
                <w:lang w:val="en-US" w:eastAsia="en-US"/>
              </w:rPr>
            </w:pPr>
            <w:r w:rsidRPr="00676355">
              <w:rPr>
                <w:rFonts w:ascii="Calibri" w:hAnsi="Calibri" w:cs="Calibri"/>
                <w:color w:val="000000"/>
                <w:sz w:val="18"/>
                <w:szCs w:val="18"/>
                <w:lang w:val="en-US" w:eastAsia="en-US"/>
              </w:rPr>
              <w:t>Large</w:t>
            </w:r>
            <w:r>
              <w:rPr>
                <w:rFonts w:ascii="Calibri" w:hAnsi="Calibri" w:cs="Calibri"/>
                <w:color w:val="000000"/>
                <w:sz w:val="18"/>
                <w:szCs w:val="18"/>
                <w:lang w:val="en-US" w:eastAsia="en-US"/>
              </w:rPr>
              <w:t xml:space="preserve"> margin</w:t>
            </w:r>
          </w:p>
        </w:tc>
      </w:tr>
    </w:tbl>
    <w:p w14:paraId="2506B497" w14:textId="068F9BB8" w:rsidR="005E5728" w:rsidRDefault="005E5728" w:rsidP="005E5728">
      <w:pPr>
        <w:pStyle w:val="Heading2"/>
        <w:rPr>
          <w:rFonts w:eastAsia="Arial"/>
          <w:lang w:eastAsia="zh-CN"/>
        </w:rPr>
      </w:pPr>
      <w:r>
        <w:rPr>
          <w:rFonts w:eastAsia="Arial"/>
          <w:lang w:eastAsia="zh-CN"/>
        </w:rPr>
        <w:t>5</w:t>
      </w:r>
      <w:r w:rsidRPr="002621CA">
        <w:rPr>
          <w:rFonts w:eastAsia="Arial"/>
          <w:lang w:eastAsia="zh-CN"/>
        </w:rPr>
        <w:t>.</w:t>
      </w:r>
      <w:r>
        <w:rPr>
          <w:rFonts w:eastAsia="Arial"/>
          <w:lang w:eastAsia="zh-CN"/>
        </w:rPr>
        <w:t>1</w:t>
      </w:r>
      <w:r w:rsidRPr="002621CA">
        <w:rPr>
          <w:rFonts w:eastAsia="Arial"/>
          <w:lang w:eastAsia="zh-CN"/>
        </w:rPr>
        <w:t xml:space="preserve"> </w:t>
      </w:r>
      <w:r>
        <w:rPr>
          <w:rFonts w:eastAsia="Arial"/>
          <w:lang w:eastAsia="zh-CN"/>
        </w:rPr>
        <w:t>PC3 1Tx measurements for 5, 20, 50 and 100MHz CBW</w:t>
      </w:r>
    </w:p>
    <w:p w14:paraId="0D4ACCA4" w14:textId="77777777" w:rsidR="005E5728" w:rsidRDefault="005E5728" w:rsidP="005E5728">
      <w:pPr>
        <w:overflowPunct/>
        <w:autoSpaceDE/>
        <w:autoSpaceDN/>
        <w:adjustRightInd/>
        <w:spacing w:after="0"/>
        <w:textAlignment w:val="auto"/>
        <w:rPr>
          <w:rFonts w:ascii="Arial" w:eastAsia="Arial" w:hAnsi="Arial"/>
          <w:sz w:val="32"/>
          <w:lang w:eastAsia="zh-CN"/>
        </w:rPr>
      </w:pPr>
      <w:r>
        <w:rPr>
          <w:rFonts w:eastAsia="Arial"/>
          <w:lang w:eastAsia="zh-CN"/>
        </w:rPr>
        <w:br w:type="page"/>
      </w:r>
    </w:p>
    <w:p w14:paraId="09996382" w14:textId="44A6AFC0" w:rsidR="005E5728" w:rsidRDefault="005E5728" w:rsidP="005E5728">
      <w:pPr>
        <w:pStyle w:val="Caption"/>
        <w:keepNext/>
      </w:pPr>
      <w:r>
        <w:lastRenderedPageBreak/>
        <w:t>Table A 1: 5MHz CBW with 15kHz SCS PC3 1Tx verification versus extension ratios</w:t>
      </w:r>
    </w:p>
    <w:p w14:paraId="5C8B20FB" w14:textId="5000F060" w:rsidR="005E5728" w:rsidRPr="00FD2221" w:rsidRDefault="00FC4D60" w:rsidP="005E5728">
      <w:pPr>
        <w:jc w:val="center"/>
        <w:rPr>
          <w:lang w:val="en-US"/>
        </w:rPr>
      </w:pPr>
      <w:r w:rsidRPr="00FC4D60">
        <w:rPr>
          <w:noProof/>
        </w:rPr>
        <w:drawing>
          <wp:inline distT="0" distB="0" distL="0" distR="0" wp14:anchorId="1EC21533" wp14:editId="11669D21">
            <wp:extent cx="6646545" cy="7775575"/>
            <wp:effectExtent l="0" t="0" r="1905" b="0"/>
            <wp:docPr id="7679902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646545" cy="7775575"/>
                    </a:xfrm>
                    <a:prstGeom prst="rect">
                      <a:avLst/>
                    </a:prstGeom>
                    <a:noFill/>
                    <a:ln>
                      <a:noFill/>
                    </a:ln>
                  </pic:spPr>
                </pic:pic>
              </a:graphicData>
            </a:graphic>
          </wp:inline>
        </w:drawing>
      </w:r>
    </w:p>
    <w:p w14:paraId="607D2435" w14:textId="6CC0D771" w:rsidR="005E5728" w:rsidRDefault="005E5728" w:rsidP="005E5728">
      <w:pPr>
        <w:pStyle w:val="Caption"/>
        <w:keepNext/>
      </w:pPr>
      <w:r>
        <w:lastRenderedPageBreak/>
        <w:t>Table A 2: 20MHz CBW with 15kHz SCS PC3 1Tx verification versus extension ratios</w:t>
      </w:r>
    </w:p>
    <w:p w14:paraId="3BE2FC17" w14:textId="7E924E98" w:rsidR="005E5728" w:rsidRPr="009B1C88" w:rsidRDefault="00FC4D60" w:rsidP="005E5728">
      <w:pPr>
        <w:jc w:val="center"/>
        <w:rPr>
          <w:lang w:val="en-US"/>
        </w:rPr>
      </w:pPr>
      <w:r w:rsidRPr="00FC4D60">
        <w:rPr>
          <w:noProof/>
        </w:rPr>
        <w:drawing>
          <wp:inline distT="0" distB="0" distL="0" distR="0" wp14:anchorId="55DC5F9A" wp14:editId="49AAB3E4">
            <wp:extent cx="6646545" cy="6762750"/>
            <wp:effectExtent l="0" t="0" r="1905" b="0"/>
            <wp:docPr id="138243126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646545" cy="6762750"/>
                    </a:xfrm>
                    <a:prstGeom prst="rect">
                      <a:avLst/>
                    </a:prstGeom>
                    <a:noFill/>
                    <a:ln>
                      <a:noFill/>
                    </a:ln>
                  </pic:spPr>
                </pic:pic>
              </a:graphicData>
            </a:graphic>
          </wp:inline>
        </w:drawing>
      </w:r>
    </w:p>
    <w:p w14:paraId="0DEDDB58" w14:textId="74F14E11" w:rsidR="005E5728" w:rsidRDefault="005E5728" w:rsidP="005E5728">
      <w:pPr>
        <w:pStyle w:val="Caption"/>
        <w:keepNext/>
      </w:pPr>
      <w:r>
        <w:lastRenderedPageBreak/>
        <w:t>Table A 3: 50MHz CBW with 15kHz SCS PC3 1Tx verification versus extension ratios</w:t>
      </w:r>
    </w:p>
    <w:p w14:paraId="79048267" w14:textId="0197CBCA" w:rsidR="005E5728" w:rsidRPr="00FD2221" w:rsidRDefault="00FC4D60" w:rsidP="005E5728">
      <w:pPr>
        <w:jc w:val="center"/>
        <w:rPr>
          <w:lang w:val="en-US"/>
        </w:rPr>
      </w:pPr>
      <w:r w:rsidRPr="00FC4D60">
        <w:rPr>
          <w:noProof/>
        </w:rPr>
        <w:drawing>
          <wp:inline distT="0" distB="0" distL="0" distR="0" wp14:anchorId="7423AB31" wp14:editId="016A5C9E">
            <wp:extent cx="6646545" cy="5659755"/>
            <wp:effectExtent l="0" t="0" r="1905" b="0"/>
            <wp:docPr id="207023779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646545" cy="5659755"/>
                    </a:xfrm>
                    <a:prstGeom prst="rect">
                      <a:avLst/>
                    </a:prstGeom>
                    <a:noFill/>
                    <a:ln>
                      <a:noFill/>
                    </a:ln>
                  </pic:spPr>
                </pic:pic>
              </a:graphicData>
            </a:graphic>
          </wp:inline>
        </w:drawing>
      </w:r>
    </w:p>
    <w:p w14:paraId="3D0B958A" w14:textId="636400B7" w:rsidR="005E5728" w:rsidRDefault="005E5728" w:rsidP="005E5728">
      <w:pPr>
        <w:pStyle w:val="Caption"/>
        <w:keepNext/>
      </w:pPr>
      <w:r>
        <w:lastRenderedPageBreak/>
        <w:t>Table A 4: 100MHz CBW with 30kHz SCS PC3 1Tx verification versus extension ratios</w:t>
      </w:r>
    </w:p>
    <w:p w14:paraId="0074AD2C" w14:textId="500EF085" w:rsidR="005E5728" w:rsidRPr="00B85868" w:rsidRDefault="00FC4D60" w:rsidP="005E5728">
      <w:pPr>
        <w:jc w:val="center"/>
        <w:rPr>
          <w:lang w:val="en-US"/>
        </w:rPr>
      </w:pPr>
      <w:r w:rsidRPr="00FC4D60">
        <w:rPr>
          <w:noProof/>
        </w:rPr>
        <w:drawing>
          <wp:inline distT="0" distB="0" distL="0" distR="0" wp14:anchorId="00F3E340" wp14:editId="3E1CB3C2">
            <wp:extent cx="6646545" cy="5659755"/>
            <wp:effectExtent l="0" t="0" r="1905" b="0"/>
            <wp:docPr id="38060632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646545" cy="5659755"/>
                    </a:xfrm>
                    <a:prstGeom prst="rect">
                      <a:avLst/>
                    </a:prstGeom>
                    <a:noFill/>
                    <a:ln>
                      <a:noFill/>
                    </a:ln>
                  </pic:spPr>
                </pic:pic>
              </a:graphicData>
            </a:graphic>
          </wp:inline>
        </w:drawing>
      </w:r>
    </w:p>
    <w:p w14:paraId="172422E4" w14:textId="022C127E" w:rsidR="005E5728" w:rsidRDefault="005E5728" w:rsidP="005E5728">
      <w:pPr>
        <w:pStyle w:val="Heading2"/>
        <w:rPr>
          <w:rFonts w:eastAsia="Arial"/>
          <w:lang w:eastAsia="zh-CN"/>
        </w:rPr>
      </w:pPr>
      <w:r>
        <w:rPr>
          <w:rFonts w:eastAsia="Arial"/>
          <w:lang w:eastAsia="zh-CN"/>
        </w:rPr>
        <w:t>5</w:t>
      </w:r>
      <w:r w:rsidRPr="002621CA">
        <w:rPr>
          <w:rFonts w:eastAsia="Arial"/>
          <w:lang w:eastAsia="zh-CN"/>
        </w:rPr>
        <w:t>.</w:t>
      </w:r>
      <w:r>
        <w:rPr>
          <w:rFonts w:eastAsia="Arial"/>
          <w:lang w:eastAsia="zh-CN"/>
        </w:rPr>
        <w:t>2</w:t>
      </w:r>
      <w:r w:rsidRPr="002621CA">
        <w:rPr>
          <w:rFonts w:eastAsia="Arial"/>
          <w:lang w:eastAsia="zh-CN"/>
        </w:rPr>
        <w:t xml:space="preserve"> </w:t>
      </w:r>
      <w:r>
        <w:rPr>
          <w:rFonts w:eastAsia="Arial"/>
          <w:lang w:eastAsia="zh-CN"/>
        </w:rPr>
        <w:t>PC2 1Tx measurements for 5, 20, 50 and 100MHz CBW</w:t>
      </w:r>
    </w:p>
    <w:p w14:paraId="605B3741" w14:textId="77777777" w:rsidR="005E5728" w:rsidRDefault="005E5728" w:rsidP="005E5728">
      <w:pPr>
        <w:overflowPunct/>
        <w:autoSpaceDE/>
        <w:autoSpaceDN/>
        <w:adjustRightInd/>
        <w:spacing w:after="0"/>
        <w:textAlignment w:val="auto"/>
        <w:rPr>
          <w:rFonts w:ascii="Arial" w:eastAsia="Arial" w:hAnsi="Arial"/>
          <w:sz w:val="32"/>
          <w:lang w:eastAsia="zh-CN"/>
        </w:rPr>
      </w:pPr>
      <w:r>
        <w:rPr>
          <w:rFonts w:eastAsia="Arial"/>
          <w:lang w:eastAsia="zh-CN"/>
        </w:rPr>
        <w:br w:type="page"/>
      </w:r>
    </w:p>
    <w:p w14:paraId="2663A752" w14:textId="557A82D2" w:rsidR="005E5728" w:rsidRDefault="005E5728" w:rsidP="005E5728">
      <w:pPr>
        <w:pStyle w:val="Caption"/>
        <w:keepNext/>
      </w:pPr>
      <w:r>
        <w:lastRenderedPageBreak/>
        <w:t>Table A 5: 5MHz CBW with 15kHz SCS PC2 1Tx verification versus extension ratios</w:t>
      </w:r>
    </w:p>
    <w:p w14:paraId="5816C9C2" w14:textId="19F94357" w:rsidR="005E5728" w:rsidRPr="00FD2221" w:rsidRDefault="00FC4D60" w:rsidP="005E5728">
      <w:pPr>
        <w:jc w:val="center"/>
        <w:rPr>
          <w:lang w:val="en-US"/>
        </w:rPr>
      </w:pPr>
      <w:r w:rsidRPr="00FC4D60">
        <w:rPr>
          <w:noProof/>
        </w:rPr>
        <w:drawing>
          <wp:inline distT="0" distB="0" distL="0" distR="0" wp14:anchorId="293B4D02" wp14:editId="16579BAA">
            <wp:extent cx="6646545" cy="7775575"/>
            <wp:effectExtent l="0" t="0" r="1905" b="0"/>
            <wp:docPr id="55539544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646545" cy="7775575"/>
                    </a:xfrm>
                    <a:prstGeom prst="rect">
                      <a:avLst/>
                    </a:prstGeom>
                    <a:noFill/>
                    <a:ln>
                      <a:noFill/>
                    </a:ln>
                  </pic:spPr>
                </pic:pic>
              </a:graphicData>
            </a:graphic>
          </wp:inline>
        </w:drawing>
      </w:r>
    </w:p>
    <w:p w14:paraId="7D46F090" w14:textId="634AA781" w:rsidR="005E5728" w:rsidRDefault="005E5728" w:rsidP="005E5728">
      <w:pPr>
        <w:pStyle w:val="Caption"/>
        <w:keepNext/>
      </w:pPr>
      <w:r>
        <w:lastRenderedPageBreak/>
        <w:t>Table A 6: 20MHz CBW with 15kHz SCS PC2 1Tx verification versus extension ratios</w:t>
      </w:r>
    </w:p>
    <w:p w14:paraId="2587C365" w14:textId="64D676CF" w:rsidR="005E5728" w:rsidRDefault="00FC4D60" w:rsidP="005E5728">
      <w:pPr>
        <w:pStyle w:val="Caption"/>
        <w:keepNext/>
      </w:pPr>
      <w:r w:rsidRPr="00FC4D60">
        <w:rPr>
          <w:noProof/>
        </w:rPr>
        <w:drawing>
          <wp:inline distT="0" distB="0" distL="0" distR="0" wp14:anchorId="4966CA51" wp14:editId="202D6D13">
            <wp:extent cx="6646545" cy="6762750"/>
            <wp:effectExtent l="0" t="0" r="1905" b="0"/>
            <wp:docPr id="118155296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646545" cy="6762750"/>
                    </a:xfrm>
                    <a:prstGeom prst="rect">
                      <a:avLst/>
                    </a:prstGeom>
                    <a:noFill/>
                    <a:ln>
                      <a:noFill/>
                    </a:ln>
                  </pic:spPr>
                </pic:pic>
              </a:graphicData>
            </a:graphic>
          </wp:inline>
        </w:drawing>
      </w:r>
    </w:p>
    <w:p w14:paraId="645FAF90" w14:textId="37FAF7E6" w:rsidR="005E5728" w:rsidRDefault="005E5728" w:rsidP="005E5728">
      <w:pPr>
        <w:pStyle w:val="Caption"/>
        <w:keepNext/>
      </w:pPr>
      <w:r>
        <w:t>Table A 7: 50MHz CBW with 15kHz SCS PC2 1Tx verification versus extension ratios</w:t>
      </w:r>
    </w:p>
    <w:p w14:paraId="45DF1828" w14:textId="4168E512" w:rsidR="005E5728" w:rsidRPr="00FD2221" w:rsidRDefault="00FC4D60" w:rsidP="005E5728">
      <w:pPr>
        <w:jc w:val="center"/>
        <w:rPr>
          <w:lang w:val="en-US"/>
        </w:rPr>
      </w:pPr>
      <w:r w:rsidRPr="00FC4D60">
        <w:rPr>
          <w:noProof/>
        </w:rPr>
        <w:lastRenderedPageBreak/>
        <w:drawing>
          <wp:inline distT="0" distB="0" distL="0" distR="0" wp14:anchorId="401D6439" wp14:editId="245B5148">
            <wp:extent cx="6646545" cy="5659755"/>
            <wp:effectExtent l="0" t="0" r="1905" b="0"/>
            <wp:docPr id="193300028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646545" cy="5659755"/>
                    </a:xfrm>
                    <a:prstGeom prst="rect">
                      <a:avLst/>
                    </a:prstGeom>
                    <a:noFill/>
                    <a:ln>
                      <a:noFill/>
                    </a:ln>
                  </pic:spPr>
                </pic:pic>
              </a:graphicData>
            </a:graphic>
          </wp:inline>
        </w:drawing>
      </w:r>
    </w:p>
    <w:p w14:paraId="1AAE7F24" w14:textId="7A6E2F76" w:rsidR="005E5728" w:rsidRDefault="005E5728" w:rsidP="005E5728">
      <w:pPr>
        <w:pStyle w:val="Caption"/>
        <w:keepNext/>
      </w:pPr>
      <w:r>
        <w:lastRenderedPageBreak/>
        <w:t xml:space="preserve">Table A 8: 100MHz CBW with 30kHz SCS PC2 </w:t>
      </w:r>
      <w:r w:rsidR="00D36C44">
        <w:t xml:space="preserve">1Tx </w:t>
      </w:r>
      <w:r>
        <w:t>verification versus extension ratios</w:t>
      </w:r>
    </w:p>
    <w:p w14:paraId="4375F3C6" w14:textId="0C2AAF5F" w:rsidR="005E5728" w:rsidRDefault="00FC4D60" w:rsidP="00E8051F">
      <w:r w:rsidRPr="00FC4D60">
        <w:rPr>
          <w:noProof/>
        </w:rPr>
        <w:drawing>
          <wp:inline distT="0" distB="0" distL="0" distR="0" wp14:anchorId="6A481AEE" wp14:editId="0193ED57">
            <wp:extent cx="6646545" cy="5659755"/>
            <wp:effectExtent l="0" t="0" r="1905" b="0"/>
            <wp:docPr id="189197657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646545" cy="5659755"/>
                    </a:xfrm>
                    <a:prstGeom prst="rect">
                      <a:avLst/>
                    </a:prstGeom>
                    <a:noFill/>
                    <a:ln>
                      <a:noFill/>
                    </a:ln>
                  </pic:spPr>
                </pic:pic>
              </a:graphicData>
            </a:graphic>
          </wp:inline>
        </w:drawing>
      </w:r>
    </w:p>
    <w:p w14:paraId="79424F33" w14:textId="6C12564C" w:rsidR="009B1C88" w:rsidRDefault="00623B0E" w:rsidP="00E8051F">
      <w:pPr>
        <w:pStyle w:val="Heading2"/>
        <w:rPr>
          <w:rFonts w:eastAsia="Arial"/>
          <w:lang w:eastAsia="zh-CN"/>
        </w:rPr>
      </w:pPr>
      <w:r>
        <w:rPr>
          <w:rFonts w:eastAsia="Arial"/>
          <w:lang w:eastAsia="zh-CN"/>
        </w:rPr>
        <w:t>5</w:t>
      </w:r>
      <w:r w:rsidR="00E8051F" w:rsidRPr="002621CA">
        <w:rPr>
          <w:rFonts w:eastAsia="Arial"/>
          <w:lang w:eastAsia="zh-CN"/>
        </w:rPr>
        <w:t>.</w:t>
      </w:r>
      <w:r w:rsidR="005E5728">
        <w:rPr>
          <w:rFonts w:eastAsia="Arial"/>
          <w:lang w:eastAsia="zh-CN"/>
        </w:rPr>
        <w:t>3</w:t>
      </w:r>
      <w:r w:rsidR="00E8051F" w:rsidRPr="002621CA">
        <w:rPr>
          <w:rFonts w:eastAsia="Arial"/>
          <w:lang w:eastAsia="zh-CN"/>
        </w:rPr>
        <w:t xml:space="preserve"> </w:t>
      </w:r>
      <w:r w:rsidR="00E8051F">
        <w:rPr>
          <w:rFonts w:eastAsia="Arial"/>
          <w:lang w:eastAsia="zh-CN"/>
        </w:rPr>
        <w:t>PC</w:t>
      </w:r>
      <w:r>
        <w:rPr>
          <w:rFonts w:eastAsia="Arial"/>
          <w:lang w:eastAsia="zh-CN"/>
        </w:rPr>
        <w:t>2 2Tx</w:t>
      </w:r>
      <w:r w:rsidR="00E8051F">
        <w:rPr>
          <w:rFonts w:eastAsia="Arial"/>
          <w:lang w:eastAsia="zh-CN"/>
        </w:rPr>
        <w:t xml:space="preserve"> measurements for 5, 20, 50 and 100MHz CBW</w:t>
      </w:r>
    </w:p>
    <w:p w14:paraId="0186B50B" w14:textId="77777777" w:rsidR="009B1C88" w:rsidRDefault="009B1C88">
      <w:pPr>
        <w:overflowPunct/>
        <w:autoSpaceDE/>
        <w:autoSpaceDN/>
        <w:adjustRightInd/>
        <w:spacing w:after="0"/>
        <w:textAlignment w:val="auto"/>
        <w:rPr>
          <w:rFonts w:ascii="Arial" w:eastAsia="Arial" w:hAnsi="Arial"/>
          <w:sz w:val="32"/>
          <w:lang w:eastAsia="zh-CN"/>
        </w:rPr>
      </w:pPr>
      <w:r>
        <w:rPr>
          <w:rFonts w:eastAsia="Arial"/>
          <w:lang w:eastAsia="zh-CN"/>
        </w:rPr>
        <w:br w:type="page"/>
      </w:r>
    </w:p>
    <w:p w14:paraId="60D5C29F" w14:textId="0BFACE96" w:rsidR="00742443" w:rsidRDefault="00742443" w:rsidP="00742443">
      <w:pPr>
        <w:pStyle w:val="Caption"/>
        <w:keepNext/>
      </w:pPr>
      <w:r>
        <w:lastRenderedPageBreak/>
        <w:t xml:space="preserve">Table A </w:t>
      </w:r>
      <w:r w:rsidR="00D36C44">
        <w:t>9</w:t>
      </w:r>
      <w:r>
        <w:t xml:space="preserve">: </w:t>
      </w:r>
      <w:r w:rsidR="00E8051F">
        <w:t>5MHz CBW with 15kHz SCS PC</w:t>
      </w:r>
      <w:r w:rsidR="00C958F7">
        <w:t>2 2Tx</w:t>
      </w:r>
      <w:r w:rsidR="00E8051F">
        <w:t xml:space="preserve"> verification versus extension ratios</w:t>
      </w:r>
    </w:p>
    <w:p w14:paraId="70D6F8D2" w14:textId="16F17C81" w:rsidR="00C958F7" w:rsidRPr="00C958F7" w:rsidRDefault="00C958F7" w:rsidP="00C958F7">
      <w:pPr>
        <w:jc w:val="center"/>
        <w:rPr>
          <w:lang w:val="en-US"/>
        </w:rPr>
      </w:pPr>
      <w:r w:rsidRPr="00C958F7">
        <w:rPr>
          <w:noProof/>
        </w:rPr>
        <w:drawing>
          <wp:inline distT="0" distB="0" distL="0" distR="0" wp14:anchorId="5D8D913E" wp14:editId="6DBF0A9F">
            <wp:extent cx="6646545" cy="7780655"/>
            <wp:effectExtent l="0" t="0" r="1905" b="0"/>
            <wp:docPr id="92294705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646545" cy="7780655"/>
                    </a:xfrm>
                    <a:prstGeom prst="rect">
                      <a:avLst/>
                    </a:prstGeom>
                    <a:noFill/>
                    <a:ln>
                      <a:noFill/>
                    </a:ln>
                  </pic:spPr>
                </pic:pic>
              </a:graphicData>
            </a:graphic>
          </wp:inline>
        </w:drawing>
      </w:r>
    </w:p>
    <w:p w14:paraId="59BADFDC" w14:textId="1AFFB6FF" w:rsidR="00E8051F" w:rsidRDefault="00E8051F" w:rsidP="00E8051F">
      <w:pPr>
        <w:pStyle w:val="Caption"/>
        <w:keepNext/>
      </w:pPr>
      <w:r>
        <w:lastRenderedPageBreak/>
        <w:t xml:space="preserve">Table A </w:t>
      </w:r>
      <w:r w:rsidR="00D36C44">
        <w:t>10</w:t>
      </w:r>
      <w:r>
        <w:t xml:space="preserve">: 20MHz CBW with 15kHz SCS </w:t>
      </w:r>
      <w:r w:rsidR="00C958F7">
        <w:t xml:space="preserve">PC2 2Tx </w:t>
      </w:r>
      <w:r>
        <w:t>verification versus extension ratios</w:t>
      </w:r>
    </w:p>
    <w:p w14:paraId="37A56F0C" w14:textId="4A4E807E" w:rsidR="009B1C88" w:rsidRPr="00C958F7" w:rsidRDefault="00000DE9" w:rsidP="009B1C88">
      <w:pPr>
        <w:jc w:val="center"/>
        <w:rPr>
          <w:lang w:val="en-US"/>
        </w:rPr>
      </w:pPr>
      <w:r w:rsidRPr="00000DE9">
        <w:rPr>
          <w:noProof/>
        </w:rPr>
        <w:drawing>
          <wp:inline distT="0" distB="0" distL="0" distR="0" wp14:anchorId="706E3E58" wp14:editId="2CC081D1">
            <wp:extent cx="6646545" cy="6762750"/>
            <wp:effectExtent l="0" t="0" r="1905" b="0"/>
            <wp:docPr id="9500194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646545" cy="6762750"/>
                    </a:xfrm>
                    <a:prstGeom prst="rect">
                      <a:avLst/>
                    </a:prstGeom>
                    <a:noFill/>
                    <a:ln>
                      <a:noFill/>
                    </a:ln>
                  </pic:spPr>
                </pic:pic>
              </a:graphicData>
            </a:graphic>
          </wp:inline>
        </w:drawing>
      </w:r>
    </w:p>
    <w:p w14:paraId="61E56577" w14:textId="0478F787" w:rsidR="00E8051F" w:rsidRDefault="00E8051F" w:rsidP="00E8051F">
      <w:pPr>
        <w:pStyle w:val="Caption"/>
        <w:keepNext/>
      </w:pPr>
      <w:r>
        <w:lastRenderedPageBreak/>
        <w:t xml:space="preserve">Table A </w:t>
      </w:r>
      <w:r w:rsidR="00D36C44">
        <w:t>11</w:t>
      </w:r>
      <w:r>
        <w:t xml:space="preserve">: 50MHz CBW with 15kHz SCS </w:t>
      </w:r>
      <w:r w:rsidR="00C958F7">
        <w:t xml:space="preserve">PC2 2Tx </w:t>
      </w:r>
      <w:r>
        <w:t>verification versus extension ratios</w:t>
      </w:r>
    </w:p>
    <w:p w14:paraId="481EF0D6" w14:textId="239B59E1" w:rsidR="009B1C88" w:rsidRPr="00FD2221" w:rsidRDefault="00000DE9" w:rsidP="009B1C88">
      <w:pPr>
        <w:jc w:val="center"/>
        <w:rPr>
          <w:lang w:val="en-US"/>
        </w:rPr>
      </w:pPr>
      <w:r w:rsidRPr="00000DE9">
        <w:rPr>
          <w:noProof/>
        </w:rPr>
        <w:drawing>
          <wp:inline distT="0" distB="0" distL="0" distR="0" wp14:anchorId="19D3CBAE" wp14:editId="7888EB22">
            <wp:extent cx="6646545" cy="5664200"/>
            <wp:effectExtent l="0" t="0" r="1905" b="0"/>
            <wp:docPr id="55681494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646545" cy="5664200"/>
                    </a:xfrm>
                    <a:prstGeom prst="rect">
                      <a:avLst/>
                    </a:prstGeom>
                    <a:noFill/>
                    <a:ln>
                      <a:noFill/>
                    </a:ln>
                  </pic:spPr>
                </pic:pic>
              </a:graphicData>
            </a:graphic>
          </wp:inline>
        </w:drawing>
      </w:r>
    </w:p>
    <w:p w14:paraId="2B158249" w14:textId="50EA20A0" w:rsidR="00E8051F" w:rsidRDefault="00E8051F" w:rsidP="00E8051F">
      <w:pPr>
        <w:pStyle w:val="Caption"/>
        <w:keepNext/>
      </w:pPr>
      <w:r>
        <w:lastRenderedPageBreak/>
        <w:t xml:space="preserve">Table A </w:t>
      </w:r>
      <w:r w:rsidR="00D36C44">
        <w:t>12</w:t>
      </w:r>
      <w:r>
        <w:t xml:space="preserve">: 100MHz CBW with 30kHz SCS </w:t>
      </w:r>
      <w:r w:rsidR="00C958F7">
        <w:t xml:space="preserve">PC2 2Tx </w:t>
      </w:r>
      <w:r>
        <w:t>verification versus extension ratios</w:t>
      </w:r>
    </w:p>
    <w:p w14:paraId="604F75E9" w14:textId="0AD7CEF7" w:rsidR="00B85868" w:rsidRPr="00B85868" w:rsidRDefault="00000DE9" w:rsidP="00B85868">
      <w:pPr>
        <w:jc w:val="center"/>
        <w:rPr>
          <w:lang w:val="en-US"/>
        </w:rPr>
      </w:pPr>
      <w:r w:rsidRPr="00000DE9">
        <w:rPr>
          <w:noProof/>
        </w:rPr>
        <w:drawing>
          <wp:inline distT="0" distB="0" distL="0" distR="0" wp14:anchorId="2156E643" wp14:editId="3655180F">
            <wp:extent cx="6646545" cy="5664200"/>
            <wp:effectExtent l="0" t="0" r="1905" b="0"/>
            <wp:docPr id="178883040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646545" cy="5664200"/>
                    </a:xfrm>
                    <a:prstGeom prst="rect">
                      <a:avLst/>
                    </a:prstGeom>
                    <a:noFill/>
                    <a:ln>
                      <a:noFill/>
                    </a:ln>
                  </pic:spPr>
                </pic:pic>
              </a:graphicData>
            </a:graphic>
          </wp:inline>
        </w:drawing>
      </w:r>
    </w:p>
    <w:p w14:paraId="46525B39" w14:textId="1EA6456F" w:rsidR="00B85868" w:rsidRDefault="00623B0E" w:rsidP="007B13FC">
      <w:pPr>
        <w:pStyle w:val="Heading2"/>
        <w:rPr>
          <w:rFonts w:eastAsia="Arial"/>
          <w:lang w:eastAsia="zh-CN"/>
        </w:rPr>
      </w:pPr>
      <w:r>
        <w:rPr>
          <w:rFonts w:eastAsia="Arial"/>
          <w:lang w:eastAsia="zh-CN"/>
        </w:rPr>
        <w:t>5</w:t>
      </w:r>
      <w:r w:rsidR="007B13FC" w:rsidRPr="002621CA">
        <w:rPr>
          <w:rFonts w:eastAsia="Arial"/>
          <w:lang w:eastAsia="zh-CN"/>
        </w:rPr>
        <w:t>.</w:t>
      </w:r>
      <w:r w:rsidR="005E5728">
        <w:rPr>
          <w:rFonts w:eastAsia="Arial"/>
          <w:lang w:eastAsia="zh-CN"/>
        </w:rPr>
        <w:t>4</w:t>
      </w:r>
      <w:r w:rsidR="007B13FC" w:rsidRPr="002621CA">
        <w:rPr>
          <w:rFonts w:eastAsia="Arial"/>
          <w:lang w:eastAsia="zh-CN"/>
        </w:rPr>
        <w:t xml:space="preserve"> </w:t>
      </w:r>
      <w:r w:rsidR="007B13FC">
        <w:rPr>
          <w:rFonts w:eastAsia="Arial"/>
          <w:lang w:eastAsia="zh-CN"/>
        </w:rPr>
        <w:t>PC</w:t>
      </w:r>
      <w:r>
        <w:rPr>
          <w:rFonts w:eastAsia="Arial"/>
          <w:lang w:eastAsia="zh-CN"/>
        </w:rPr>
        <w:t>1.5 2Tx</w:t>
      </w:r>
      <w:r w:rsidR="007B13FC">
        <w:rPr>
          <w:rFonts w:eastAsia="Arial"/>
          <w:lang w:eastAsia="zh-CN"/>
        </w:rPr>
        <w:t xml:space="preserve"> measurements for 5, 20, 50 and 100MHz CBW</w:t>
      </w:r>
    </w:p>
    <w:p w14:paraId="16CE8CB0" w14:textId="77777777" w:rsidR="00B85868" w:rsidRDefault="00B85868">
      <w:pPr>
        <w:overflowPunct/>
        <w:autoSpaceDE/>
        <w:autoSpaceDN/>
        <w:adjustRightInd/>
        <w:spacing w:after="0"/>
        <w:textAlignment w:val="auto"/>
        <w:rPr>
          <w:rFonts w:ascii="Arial" w:eastAsia="Arial" w:hAnsi="Arial"/>
          <w:sz w:val="32"/>
          <w:lang w:eastAsia="zh-CN"/>
        </w:rPr>
      </w:pPr>
      <w:r>
        <w:rPr>
          <w:rFonts w:eastAsia="Arial"/>
          <w:lang w:eastAsia="zh-CN"/>
        </w:rPr>
        <w:br w:type="page"/>
      </w:r>
    </w:p>
    <w:p w14:paraId="79444E95" w14:textId="02B1E230" w:rsidR="00FD2221" w:rsidRDefault="00FD2221" w:rsidP="00FD2221">
      <w:pPr>
        <w:pStyle w:val="Caption"/>
        <w:keepNext/>
      </w:pPr>
      <w:r>
        <w:lastRenderedPageBreak/>
        <w:t xml:space="preserve">Table A </w:t>
      </w:r>
      <w:r w:rsidR="00D36C44">
        <w:t>13</w:t>
      </w:r>
      <w:r>
        <w:t xml:space="preserve">: 5MHz CBW with 15kHz SCS </w:t>
      </w:r>
      <w:r w:rsidR="00C958F7">
        <w:t xml:space="preserve">PC1.5 2Tx </w:t>
      </w:r>
      <w:r>
        <w:t>verification versus extension ratios</w:t>
      </w:r>
    </w:p>
    <w:p w14:paraId="6B758114" w14:textId="240B5717" w:rsidR="00FD2221" w:rsidRPr="00FD2221" w:rsidRDefault="00000DE9" w:rsidP="00FD2221">
      <w:pPr>
        <w:jc w:val="center"/>
        <w:rPr>
          <w:lang w:val="en-US"/>
        </w:rPr>
      </w:pPr>
      <w:r w:rsidRPr="00000DE9">
        <w:rPr>
          <w:noProof/>
        </w:rPr>
        <w:drawing>
          <wp:inline distT="0" distB="0" distL="0" distR="0" wp14:anchorId="21F0050F" wp14:editId="015257EA">
            <wp:extent cx="6646545" cy="7780655"/>
            <wp:effectExtent l="0" t="0" r="1905" b="0"/>
            <wp:docPr id="36692082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646545" cy="7780655"/>
                    </a:xfrm>
                    <a:prstGeom prst="rect">
                      <a:avLst/>
                    </a:prstGeom>
                    <a:noFill/>
                    <a:ln>
                      <a:noFill/>
                    </a:ln>
                  </pic:spPr>
                </pic:pic>
              </a:graphicData>
            </a:graphic>
          </wp:inline>
        </w:drawing>
      </w:r>
    </w:p>
    <w:p w14:paraId="15E5DC05" w14:textId="5D73116E" w:rsidR="00FD2221" w:rsidRDefault="00FD2221" w:rsidP="00FD2221">
      <w:pPr>
        <w:pStyle w:val="Caption"/>
        <w:keepNext/>
      </w:pPr>
      <w:r>
        <w:lastRenderedPageBreak/>
        <w:t xml:space="preserve">Table A </w:t>
      </w:r>
      <w:r w:rsidR="00D36C44">
        <w:t>14</w:t>
      </w:r>
      <w:r>
        <w:t xml:space="preserve">: 20MHz CBW with 15kHz SCS </w:t>
      </w:r>
      <w:r w:rsidR="00C958F7">
        <w:t xml:space="preserve">PC1.5 2Tx </w:t>
      </w:r>
      <w:r>
        <w:t>verification versus extension ratios</w:t>
      </w:r>
    </w:p>
    <w:p w14:paraId="40F35406" w14:textId="44C41538" w:rsidR="00B85868" w:rsidRDefault="00000DE9" w:rsidP="00FD2221">
      <w:pPr>
        <w:pStyle w:val="Caption"/>
        <w:keepNext/>
      </w:pPr>
      <w:r w:rsidRPr="00000DE9">
        <w:rPr>
          <w:noProof/>
        </w:rPr>
        <w:drawing>
          <wp:inline distT="0" distB="0" distL="0" distR="0" wp14:anchorId="1DF0FE5F" wp14:editId="20D93BC4">
            <wp:extent cx="6646545" cy="6762750"/>
            <wp:effectExtent l="0" t="0" r="1905" b="0"/>
            <wp:docPr id="42486355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646545" cy="6762750"/>
                    </a:xfrm>
                    <a:prstGeom prst="rect">
                      <a:avLst/>
                    </a:prstGeom>
                    <a:noFill/>
                    <a:ln>
                      <a:noFill/>
                    </a:ln>
                  </pic:spPr>
                </pic:pic>
              </a:graphicData>
            </a:graphic>
          </wp:inline>
        </w:drawing>
      </w:r>
    </w:p>
    <w:p w14:paraId="6338D8BA" w14:textId="3DBD3E0D" w:rsidR="00FD2221" w:rsidRDefault="00FD2221" w:rsidP="00FD2221">
      <w:pPr>
        <w:pStyle w:val="Caption"/>
        <w:keepNext/>
      </w:pPr>
      <w:r>
        <w:t xml:space="preserve">Table A </w:t>
      </w:r>
      <w:r w:rsidR="00D36C44">
        <w:t>15</w:t>
      </w:r>
      <w:r>
        <w:t xml:space="preserve">: 50MHz CBW with 15kHz SCS </w:t>
      </w:r>
      <w:r w:rsidR="00C958F7">
        <w:t xml:space="preserve">PC1.5 2Tx </w:t>
      </w:r>
      <w:r>
        <w:t>verification versus extension ratios</w:t>
      </w:r>
    </w:p>
    <w:p w14:paraId="44D74E11" w14:textId="38D53989" w:rsidR="00FD2221" w:rsidRPr="00FD2221" w:rsidRDefault="00000DE9" w:rsidP="00FD2221">
      <w:pPr>
        <w:jc w:val="center"/>
        <w:rPr>
          <w:lang w:val="en-US"/>
        </w:rPr>
      </w:pPr>
      <w:r w:rsidRPr="00000DE9">
        <w:rPr>
          <w:noProof/>
        </w:rPr>
        <w:lastRenderedPageBreak/>
        <w:drawing>
          <wp:inline distT="0" distB="0" distL="0" distR="0" wp14:anchorId="644EFBED" wp14:editId="68D6F4B3">
            <wp:extent cx="6646545" cy="5664200"/>
            <wp:effectExtent l="0" t="0" r="1905" b="0"/>
            <wp:docPr id="154014548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646545" cy="5664200"/>
                    </a:xfrm>
                    <a:prstGeom prst="rect">
                      <a:avLst/>
                    </a:prstGeom>
                    <a:noFill/>
                    <a:ln>
                      <a:noFill/>
                    </a:ln>
                  </pic:spPr>
                </pic:pic>
              </a:graphicData>
            </a:graphic>
          </wp:inline>
        </w:drawing>
      </w:r>
    </w:p>
    <w:p w14:paraId="12DACD67" w14:textId="5CADCCFD" w:rsidR="00FD2221" w:rsidRDefault="00FD2221" w:rsidP="00FD2221">
      <w:pPr>
        <w:pStyle w:val="Caption"/>
        <w:keepNext/>
      </w:pPr>
      <w:r>
        <w:lastRenderedPageBreak/>
        <w:t xml:space="preserve">Table A </w:t>
      </w:r>
      <w:r w:rsidR="00D36C44">
        <w:t>16</w:t>
      </w:r>
      <w:r>
        <w:t xml:space="preserve">: 100MHz CBW with 30kHz SCS </w:t>
      </w:r>
      <w:r w:rsidR="00C958F7">
        <w:t xml:space="preserve">PC1.5 2Tx </w:t>
      </w:r>
      <w:r>
        <w:t>verification versus extension ratios</w:t>
      </w:r>
    </w:p>
    <w:p w14:paraId="6BAF7CC4" w14:textId="1FC8FACA" w:rsidR="007B13FC" w:rsidRPr="00FD2221" w:rsidRDefault="00000DE9" w:rsidP="007E78D9">
      <w:pPr>
        <w:jc w:val="center"/>
        <w:rPr>
          <w:lang w:val="en-US"/>
        </w:rPr>
      </w:pPr>
      <w:r w:rsidRPr="00000DE9">
        <w:rPr>
          <w:noProof/>
        </w:rPr>
        <w:drawing>
          <wp:inline distT="0" distB="0" distL="0" distR="0" wp14:anchorId="7AB5AE9D" wp14:editId="6E532E1E">
            <wp:extent cx="6646545" cy="5664200"/>
            <wp:effectExtent l="0" t="0" r="1905" b="0"/>
            <wp:docPr id="147933670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646545" cy="5664200"/>
                    </a:xfrm>
                    <a:prstGeom prst="rect">
                      <a:avLst/>
                    </a:prstGeom>
                    <a:noFill/>
                    <a:ln>
                      <a:noFill/>
                    </a:ln>
                  </pic:spPr>
                </pic:pic>
              </a:graphicData>
            </a:graphic>
          </wp:inline>
        </w:drawing>
      </w:r>
    </w:p>
    <w:sectPr w:rsidR="007B13FC" w:rsidRPr="00FD2221" w:rsidSect="00C958F7">
      <w:footnotePr>
        <w:numRestart w:val="eachSect"/>
      </w:footnotePr>
      <w:pgSz w:w="11907" w:h="16840" w:code="9"/>
      <w:pgMar w:top="720" w:right="720" w:bottom="720" w:left="72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C2A758" w14:textId="77777777" w:rsidR="006002FC" w:rsidRPr="00A10429" w:rsidRDefault="006002FC" w:rsidP="0064547A">
      <w:pPr>
        <w:spacing w:after="0"/>
        <w:rPr>
          <w:kern w:val="2"/>
          <w:lang w:eastAsia="zh-CN"/>
        </w:rPr>
      </w:pPr>
      <w:r>
        <w:separator/>
      </w:r>
    </w:p>
  </w:endnote>
  <w:endnote w:type="continuationSeparator" w:id="0">
    <w:p w14:paraId="0AF770CA" w14:textId="77777777" w:rsidR="006002FC" w:rsidRPr="00A10429" w:rsidRDefault="006002FC" w:rsidP="0064547A">
      <w:pPr>
        <w:spacing w:after="0"/>
        <w:rPr>
          <w:kern w:val="2"/>
          <w:lang w:eastAsia="zh-CN"/>
        </w:rPr>
      </w:pPr>
      <w:r>
        <w:continuationSeparator/>
      </w:r>
    </w:p>
  </w:endnote>
  <w:endnote w:type="continuationNotice" w:id="1">
    <w:p w14:paraId="3251EB76" w14:textId="77777777" w:rsidR="006002FC" w:rsidRDefault="006002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variable"/>
    <w:sig w:usb0="00000000" w:usb1="08070000" w:usb2="00000010" w:usb3="00000000" w:csb0="00020093" w:csb1="00000000"/>
  </w:font>
  <w:font w:name="Yu Mincho">
    <w:altName w:val="Yu Gothic UI"/>
    <w:charset w:val="80"/>
    <w:family w:val="roman"/>
    <w:pitch w:val="variable"/>
    <w:sig w:usb0="800002E7" w:usb1="2AC7FCFF" w:usb2="00000012" w:usb3="00000000" w:csb0="0002009F" w:csb1="00000000"/>
  </w:font>
  <w:font w:name="TimesNewRomanPSMT">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31E6E" w14:textId="77777777" w:rsidR="006002FC" w:rsidRPr="00A10429" w:rsidRDefault="006002FC" w:rsidP="0064547A">
      <w:pPr>
        <w:spacing w:after="0"/>
        <w:rPr>
          <w:kern w:val="2"/>
          <w:lang w:eastAsia="zh-CN"/>
        </w:rPr>
      </w:pPr>
      <w:r>
        <w:separator/>
      </w:r>
    </w:p>
  </w:footnote>
  <w:footnote w:type="continuationSeparator" w:id="0">
    <w:p w14:paraId="3DB0BE3F" w14:textId="77777777" w:rsidR="006002FC" w:rsidRPr="00A10429" w:rsidRDefault="006002FC" w:rsidP="0064547A">
      <w:pPr>
        <w:spacing w:after="0"/>
        <w:rPr>
          <w:kern w:val="2"/>
          <w:lang w:eastAsia="zh-CN"/>
        </w:rPr>
      </w:pPr>
      <w:r>
        <w:continuationSeparator/>
      </w:r>
    </w:p>
  </w:footnote>
  <w:footnote w:type="continuationNotice" w:id="1">
    <w:p w14:paraId="6C2F64EF" w14:textId="77777777" w:rsidR="006002FC" w:rsidRDefault="006002F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1281234"/>
    <w:multiLevelType w:val="hybridMultilevel"/>
    <w:tmpl w:val="02F84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C41D7B"/>
    <w:multiLevelType w:val="hybridMultilevel"/>
    <w:tmpl w:val="830E17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564642"/>
    <w:multiLevelType w:val="hybridMultilevel"/>
    <w:tmpl w:val="0A00FF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C0268D0"/>
    <w:multiLevelType w:val="hybridMultilevel"/>
    <w:tmpl w:val="8E20F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521183"/>
    <w:multiLevelType w:val="hybridMultilevel"/>
    <w:tmpl w:val="10D64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800665"/>
    <w:multiLevelType w:val="hybridMultilevel"/>
    <w:tmpl w:val="19402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1254B"/>
    <w:multiLevelType w:val="hybridMultilevel"/>
    <w:tmpl w:val="ABD6B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8E4A3B"/>
    <w:multiLevelType w:val="hybridMultilevel"/>
    <w:tmpl w:val="1A241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12B51A4"/>
    <w:multiLevelType w:val="hybridMultilevel"/>
    <w:tmpl w:val="786C2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13F714A7"/>
    <w:multiLevelType w:val="hybridMultilevel"/>
    <w:tmpl w:val="DF06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1787549E"/>
    <w:multiLevelType w:val="hybridMultilevel"/>
    <w:tmpl w:val="CC8A7CD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946E01"/>
    <w:multiLevelType w:val="hybridMultilevel"/>
    <w:tmpl w:val="F7C25A7E"/>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8" w15:restartNumberingAfterBreak="0">
    <w:nsid w:val="1EC222CC"/>
    <w:multiLevelType w:val="hybridMultilevel"/>
    <w:tmpl w:val="62AE3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84D0D"/>
    <w:multiLevelType w:val="hybridMultilevel"/>
    <w:tmpl w:val="6892FE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B44DE3"/>
    <w:multiLevelType w:val="hybridMultilevel"/>
    <w:tmpl w:val="86B07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2AF23E6E"/>
    <w:multiLevelType w:val="hybridMultilevel"/>
    <w:tmpl w:val="77881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BCC66A3"/>
    <w:multiLevelType w:val="hybridMultilevel"/>
    <w:tmpl w:val="9FE0C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DBC390B"/>
    <w:multiLevelType w:val="hybridMultilevel"/>
    <w:tmpl w:val="3382695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300E4249"/>
    <w:multiLevelType w:val="hybridMultilevel"/>
    <w:tmpl w:val="1194D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36BB6A9B"/>
    <w:multiLevelType w:val="hybridMultilevel"/>
    <w:tmpl w:val="098C7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9C214F7"/>
    <w:multiLevelType w:val="hybridMultilevel"/>
    <w:tmpl w:val="F7D06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2" w15:restartNumberingAfterBreak="0">
    <w:nsid w:val="3B8A6702"/>
    <w:multiLevelType w:val="hybridMultilevel"/>
    <w:tmpl w:val="F2786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14B2519"/>
    <w:multiLevelType w:val="hybridMultilevel"/>
    <w:tmpl w:val="B72458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6" w15:restartNumberingAfterBreak="0">
    <w:nsid w:val="4D091559"/>
    <w:multiLevelType w:val="hybridMultilevel"/>
    <w:tmpl w:val="76C0FF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543D0126"/>
    <w:multiLevelType w:val="hybridMultilevel"/>
    <w:tmpl w:val="5F9200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56E14515"/>
    <w:multiLevelType w:val="hybridMultilevel"/>
    <w:tmpl w:val="198EE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7E82C37"/>
    <w:multiLevelType w:val="hybridMultilevel"/>
    <w:tmpl w:val="D8C488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44" w15:restartNumberingAfterBreak="0">
    <w:nsid w:val="5D986361"/>
    <w:multiLevelType w:val="hybridMultilevel"/>
    <w:tmpl w:val="7DDAB8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5E5C4D0A"/>
    <w:multiLevelType w:val="hybridMultilevel"/>
    <w:tmpl w:val="ED3010CC"/>
    <w:lvl w:ilvl="0" w:tplc="0409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780A8E3C">
      <w:start w:val="1"/>
      <w:numFmt w:val="bullet"/>
      <w:lvlText w:val="-"/>
      <w:lvlJc w:val="left"/>
      <w:pPr>
        <w:ind w:left="1200" w:hanging="36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F087489"/>
    <w:multiLevelType w:val="hybridMultilevel"/>
    <w:tmpl w:val="F06C15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1217D27"/>
    <w:multiLevelType w:val="hybridMultilevel"/>
    <w:tmpl w:val="3C588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66FE6BF9"/>
    <w:multiLevelType w:val="hybridMultilevel"/>
    <w:tmpl w:val="EA1CBC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6BAA1549"/>
    <w:multiLevelType w:val="hybridMultilevel"/>
    <w:tmpl w:val="EFB0CF8C"/>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50" w15:restartNumberingAfterBreak="0">
    <w:nsid w:val="6C0673E7"/>
    <w:multiLevelType w:val="hybridMultilevel"/>
    <w:tmpl w:val="75A81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5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2DF36A9"/>
    <w:multiLevelType w:val="hybridMultilevel"/>
    <w:tmpl w:val="64D84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3A72035"/>
    <w:multiLevelType w:val="hybridMultilevel"/>
    <w:tmpl w:val="AF6AFA06"/>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57" w15:restartNumberingAfterBreak="0">
    <w:nsid w:val="74047B7B"/>
    <w:multiLevelType w:val="hybridMultilevel"/>
    <w:tmpl w:val="C1628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53B1F64"/>
    <w:multiLevelType w:val="hybridMultilevel"/>
    <w:tmpl w:val="FB022C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7566C85"/>
    <w:multiLevelType w:val="hybridMultilevel"/>
    <w:tmpl w:val="05A262C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0" w15:restartNumberingAfterBreak="0">
    <w:nsid w:val="787D26AA"/>
    <w:multiLevelType w:val="hybridMultilevel"/>
    <w:tmpl w:val="EBE43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63" w15:restartNumberingAfterBreak="0">
    <w:nsid w:val="7AFD14B2"/>
    <w:multiLevelType w:val="hybridMultilevel"/>
    <w:tmpl w:val="2D84AB5A"/>
    <w:lvl w:ilvl="0" w:tplc="D924C192">
      <w:start w:val="1"/>
      <w:numFmt w:val="bullet"/>
      <w:lvlText w:val=""/>
      <w:lvlJc w:val="left"/>
      <w:pPr>
        <w:ind w:left="720" w:hanging="360"/>
      </w:pPr>
      <w:rPr>
        <w:rFonts w:ascii="Wingdings" w:eastAsia="Arial"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 w15:restartNumberingAfterBreak="0">
    <w:nsid w:val="7CCC6053"/>
    <w:multiLevelType w:val="hybridMultilevel"/>
    <w:tmpl w:val="3D9AB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4254964">
    <w:abstractNumId w:val="16"/>
  </w:num>
  <w:num w:numId="2" w16cid:durableId="1298339486">
    <w:abstractNumId w:val="12"/>
  </w:num>
  <w:num w:numId="3" w16cid:durableId="730156007">
    <w:abstractNumId w:val="25"/>
  </w:num>
  <w:num w:numId="4" w16cid:durableId="317660584">
    <w:abstractNumId w:val="21"/>
  </w:num>
  <w:num w:numId="5" w16cid:durableId="1858304697">
    <w:abstractNumId w:val="61"/>
  </w:num>
  <w:num w:numId="6" w16cid:durableId="2105563181">
    <w:abstractNumId w:val="10"/>
  </w:num>
  <w:num w:numId="7" w16cid:durableId="633097245">
    <w:abstractNumId w:val="37"/>
  </w:num>
  <w:num w:numId="8" w16cid:durableId="1163470918">
    <w:abstractNumId w:val="28"/>
  </w:num>
  <w:num w:numId="9" w16cid:durableId="255214559">
    <w:abstractNumId w:val="54"/>
  </w:num>
  <w:num w:numId="10" w16cid:durableId="1775591434">
    <w:abstractNumId w:val="62"/>
  </w:num>
  <w:num w:numId="11" w16cid:durableId="1690718188">
    <w:abstractNumId w:val="64"/>
  </w:num>
  <w:num w:numId="12" w16cid:durableId="1051925366">
    <w:abstractNumId w:val="31"/>
  </w:num>
  <w:num w:numId="13" w16cid:durableId="1741057929">
    <w:abstractNumId w:val="34"/>
  </w:num>
  <w:num w:numId="14" w16cid:durableId="232856064">
    <w:abstractNumId w:val="27"/>
  </w:num>
  <w:num w:numId="15" w16cid:durableId="224609546">
    <w:abstractNumId w:val="51"/>
  </w:num>
  <w:num w:numId="16" w16cid:durableId="1767651071">
    <w:abstractNumId w:val="0"/>
  </w:num>
  <w:num w:numId="17" w16cid:durableId="220364000">
    <w:abstractNumId w:val="53"/>
  </w:num>
  <w:num w:numId="18" w16cid:durableId="1462066297">
    <w:abstractNumId w:val="14"/>
  </w:num>
  <w:num w:numId="19" w16cid:durableId="799766590">
    <w:abstractNumId w:val="4"/>
  </w:num>
  <w:num w:numId="20" w16cid:durableId="1479571757">
    <w:abstractNumId w:val="52"/>
  </w:num>
  <w:num w:numId="21" w16cid:durableId="409159420">
    <w:abstractNumId w:val="38"/>
  </w:num>
  <w:num w:numId="22" w16cid:durableId="691032568">
    <w:abstractNumId w:val="35"/>
    <w:lvlOverride w:ilvl="0">
      <w:startOverride w:val="1"/>
    </w:lvlOverride>
  </w:num>
  <w:num w:numId="23" w16cid:durableId="1262377704">
    <w:abstractNumId w:val="39"/>
    <w:lvlOverride w:ilvl="0">
      <w:startOverride w:val="1"/>
    </w:lvlOverride>
  </w:num>
  <w:num w:numId="24" w16cid:durableId="1573616781">
    <w:abstractNumId w:val="60"/>
  </w:num>
  <w:num w:numId="25" w16cid:durableId="1062295999">
    <w:abstractNumId w:val="45"/>
  </w:num>
  <w:num w:numId="26" w16cid:durableId="1066412708">
    <w:abstractNumId w:val="6"/>
  </w:num>
  <w:num w:numId="27" w16cid:durableId="368074488">
    <w:abstractNumId w:val="18"/>
  </w:num>
  <w:num w:numId="28" w16cid:durableId="498738340">
    <w:abstractNumId w:val="41"/>
  </w:num>
  <w:num w:numId="29" w16cid:durableId="1246961137">
    <w:abstractNumId w:val="63"/>
  </w:num>
  <w:num w:numId="30" w16cid:durableId="1318267566">
    <w:abstractNumId w:val="8"/>
  </w:num>
  <w:num w:numId="31" w16cid:durableId="771434582">
    <w:abstractNumId w:val="15"/>
  </w:num>
  <w:num w:numId="32" w16cid:durableId="1842163360">
    <w:abstractNumId w:val="47"/>
  </w:num>
  <w:num w:numId="33" w16cid:durableId="857155421">
    <w:abstractNumId w:val="40"/>
  </w:num>
  <w:num w:numId="34" w16cid:durableId="900095594">
    <w:abstractNumId w:val="36"/>
  </w:num>
  <w:num w:numId="35" w16cid:durableId="906190281">
    <w:abstractNumId w:val="24"/>
  </w:num>
  <w:num w:numId="36" w16cid:durableId="1461067969">
    <w:abstractNumId w:val="29"/>
  </w:num>
  <w:num w:numId="37" w16cid:durableId="844173242">
    <w:abstractNumId w:val="9"/>
  </w:num>
  <w:num w:numId="38" w16cid:durableId="1478954604">
    <w:abstractNumId w:val="56"/>
  </w:num>
  <w:num w:numId="39" w16cid:durableId="1901406501">
    <w:abstractNumId w:val="30"/>
  </w:num>
  <w:num w:numId="40" w16cid:durableId="475880348">
    <w:abstractNumId w:val="22"/>
  </w:num>
  <w:num w:numId="41" w16cid:durableId="1151825122">
    <w:abstractNumId w:val="33"/>
  </w:num>
  <w:num w:numId="42" w16cid:durableId="1292784708">
    <w:abstractNumId w:val="1"/>
  </w:num>
  <w:num w:numId="43" w16cid:durableId="1251424056">
    <w:abstractNumId w:val="13"/>
  </w:num>
  <w:num w:numId="44" w16cid:durableId="545217238">
    <w:abstractNumId w:val="43"/>
  </w:num>
  <w:num w:numId="45" w16cid:durableId="1204945119">
    <w:abstractNumId w:val="3"/>
  </w:num>
  <w:num w:numId="46" w16cid:durableId="988752637">
    <w:abstractNumId w:val="50"/>
  </w:num>
  <w:num w:numId="47" w16cid:durableId="424807210">
    <w:abstractNumId w:val="57"/>
  </w:num>
  <w:num w:numId="48" w16cid:durableId="1882282193">
    <w:abstractNumId w:val="11"/>
  </w:num>
  <w:num w:numId="49" w16cid:durableId="1809125452">
    <w:abstractNumId w:val="48"/>
  </w:num>
  <w:num w:numId="50" w16cid:durableId="1669021397">
    <w:abstractNumId w:val="32"/>
  </w:num>
  <w:num w:numId="51" w16cid:durableId="549534811">
    <w:abstractNumId w:val="19"/>
  </w:num>
  <w:num w:numId="52" w16cid:durableId="1589340779">
    <w:abstractNumId w:val="59"/>
  </w:num>
  <w:num w:numId="53" w16cid:durableId="780952858">
    <w:abstractNumId w:val="43"/>
  </w:num>
  <w:num w:numId="54" w16cid:durableId="1207181925">
    <w:abstractNumId w:val="20"/>
  </w:num>
  <w:num w:numId="55" w16cid:durableId="1896432598">
    <w:abstractNumId w:val="23"/>
  </w:num>
  <w:num w:numId="56" w16cid:durableId="1159149043">
    <w:abstractNumId w:val="46"/>
  </w:num>
  <w:num w:numId="57" w16cid:durableId="1993438038">
    <w:abstractNumId w:val="2"/>
  </w:num>
  <w:num w:numId="58" w16cid:durableId="2053074902">
    <w:abstractNumId w:val="26"/>
  </w:num>
  <w:num w:numId="59" w16cid:durableId="714350569">
    <w:abstractNumId w:val="55"/>
  </w:num>
  <w:num w:numId="60" w16cid:durableId="1595894000">
    <w:abstractNumId w:val="65"/>
  </w:num>
  <w:num w:numId="61" w16cid:durableId="816919959">
    <w:abstractNumId w:val="7"/>
  </w:num>
  <w:num w:numId="62" w16cid:durableId="1602565847">
    <w:abstractNumId w:val="17"/>
  </w:num>
  <w:num w:numId="63" w16cid:durableId="1278832365">
    <w:abstractNumId w:val="42"/>
  </w:num>
  <w:num w:numId="64" w16cid:durableId="198903651">
    <w:abstractNumId w:val="5"/>
  </w:num>
  <w:num w:numId="65" w16cid:durableId="70931534">
    <w:abstractNumId w:val="49"/>
  </w:num>
  <w:num w:numId="66" w16cid:durableId="1544096000">
    <w:abstractNumId w:val="58"/>
  </w:num>
  <w:num w:numId="67" w16cid:durableId="2088645150">
    <w:abstractNumId w:val="4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0DE9"/>
    <w:rsid w:val="00001291"/>
    <w:rsid w:val="0000147A"/>
    <w:rsid w:val="00001698"/>
    <w:rsid w:val="0000283E"/>
    <w:rsid w:val="00002AF8"/>
    <w:rsid w:val="00003B68"/>
    <w:rsid w:val="000049B1"/>
    <w:rsid w:val="00004B4A"/>
    <w:rsid w:val="00005055"/>
    <w:rsid w:val="0000532F"/>
    <w:rsid w:val="00005510"/>
    <w:rsid w:val="00005658"/>
    <w:rsid w:val="0000585F"/>
    <w:rsid w:val="00005B65"/>
    <w:rsid w:val="0000664B"/>
    <w:rsid w:val="000066AC"/>
    <w:rsid w:val="000068DA"/>
    <w:rsid w:val="0000695D"/>
    <w:rsid w:val="00007305"/>
    <w:rsid w:val="000076B1"/>
    <w:rsid w:val="00007783"/>
    <w:rsid w:val="0000788B"/>
    <w:rsid w:val="00010FCF"/>
    <w:rsid w:val="0001144F"/>
    <w:rsid w:val="0001310A"/>
    <w:rsid w:val="0001335E"/>
    <w:rsid w:val="000134D3"/>
    <w:rsid w:val="000134EA"/>
    <w:rsid w:val="0001376B"/>
    <w:rsid w:val="00013C34"/>
    <w:rsid w:val="00013DAB"/>
    <w:rsid w:val="000142FF"/>
    <w:rsid w:val="0001521F"/>
    <w:rsid w:val="00015662"/>
    <w:rsid w:val="000160F7"/>
    <w:rsid w:val="00016143"/>
    <w:rsid w:val="00016D9E"/>
    <w:rsid w:val="00017375"/>
    <w:rsid w:val="000178B7"/>
    <w:rsid w:val="0002008D"/>
    <w:rsid w:val="000201C7"/>
    <w:rsid w:val="00020598"/>
    <w:rsid w:val="00020E97"/>
    <w:rsid w:val="0002199F"/>
    <w:rsid w:val="000224B7"/>
    <w:rsid w:val="00022BF9"/>
    <w:rsid w:val="00023757"/>
    <w:rsid w:val="00023B66"/>
    <w:rsid w:val="00024FC1"/>
    <w:rsid w:val="00025688"/>
    <w:rsid w:val="000256CD"/>
    <w:rsid w:val="000257C7"/>
    <w:rsid w:val="00025D05"/>
    <w:rsid w:val="0002624C"/>
    <w:rsid w:val="00026D17"/>
    <w:rsid w:val="0002781C"/>
    <w:rsid w:val="00027F03"/>
    <w:rsid w:val="000308CD"/>
    <w:rsid w:val="000309D5"/>
    <w:rsid w:val="00030CE4"/>
    <w:rsid w:val="00030D2D"/>
    <w:rsid w:val="00031BB2"/>
    <w:rsid w:val="00031F4A"/>
    <w:rsid w:val="0003209A"/>
    <w:rsid w:val="000328AD"/>
    <w:rsid w:val="0003379A"/>
    <w:rsid w:val="00033BBF"/>
    <w:rsid w:val="00033EF0"/>
    <w:rsid w:val="000342A6"/>
    <w:rsid w:val="000346D6"/>
    <w:rsid w:val="000346ED"/>
    <w:rsid w:val="000349F5"/>
    <w:rsid w:val="00034C1F"/>
    <w:rsid w:val="00034E7E"/>
    <w:rsid w:val="000363CC"/>
    <w:rsid w:val="000371E4"/>
    <w:rsid w:val="00037390"/>
    <w:rsid w:val="000406ED"/>
    <w:rsid w:val="00040CD4"/>
    <w:rsid w:val="00041630"/>
    <w:rsid w:val="0004178B"/>
    <w:rsid w:val="00042511"/>
    <w:rsid w:val="00043E81"/>
    <w:rsid w:val="00044C28"/>
    <w:rsid w:val="00044CD5"/>
    <w:rsid w:val="00044F34"/>
    <w:rsid w:val="000453B0"/>
    <w:rsid w:val="0004555A"/>
    <w:rsid w:val="00050128"/>
    <w:rsid w:val="000503D5"/>
    <w:rsid w:val="00050E97"/>
    <w:rsid w:val="0005157B"/>
    <w:rsid w:val="00051B57"/>
    <w:rsid w:val="00052F5C"/>
    <w:rsid w:val="0005340C"/>
    <w:rsid w:val="00053567"/>
    <w:rsid w:val="00053E8E"/>
    <w:rsid w:val="0005451D"/>
    <w:rsid w:val="00054C34"/>
    <w:rsid w:val="00054D46"/>
    <w:rsid w:val="0005546C"/>
    <w:rsid w:val="00055967"/>
    <w:rsid w:val="0005655F"/>
    <w:rsid w:val="00056680"/>
    <w:rsid w:val="0005773B"/>
    <w:rsid w:val="00057CF8"/>
    <w:rsid w:val="0006018C"/>
    <w:rsid w:val="00060E54"/>
    <w:rsid w:val="00060FE3"/>
    <w:rsid w:val="0006130E"/>
    <w:rsid w:val="00061483"/>
    <w:rsid w:val="00062489"/>
    <w:rsid w:val="0006270D"/>
    <w:rsid w:val="0006280E"/>
    <w:rsid w:val="00064870"/>
    <w:rsid w:val="00065412"/>
    <w:rsid w:val="00065D20"/>
    <w:rsid w:val="00065F75"/>
    <w:rsid w:val="00065F76"/>
    <w:rsid w:val="000671EA"/>
    <w:rsid w:val="00067448"/>
    <w:rsid w:val="00070CA9"/>
    <w:rsid w:val="0007125D"/>
    <w:rsid w:val="00071F1A"/>
    <w:rsid w:val="000722A2"/>
    <w:rsid w:val="000726B2"/>
    <w:rsid w:val="00072DEC"/>
    <w:rsid w:val="00073909"/>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593E"/>
    <w:rsid w:val="000870C8"/>
    <w:rsid w:val="0008756E"/>
    <w:rsid w:val="0009052F"/>
    <w:rsid w:val="00090809"/>
    <w:rsid w:val="00090B61"/>
    <w:rsid w:val="0009138D"/>
    <w:rsid w:val="00091F3C"/>
    <w:rsid w:val="0009283F"/>
    <w:rsid w:val="00092B72"/>
    <w:rsid w:val="00093417"/>
    <w:rsid w:val="00093796"/>
    <w:rsid w:val="00094102"/>
    <w:rsid w:val="00094284"/>
    <w:rsid w:val="00095015"/>
    <w:rsid w:val="000962B7"/>
    <w:rsid w:val="000A0890"/>
    <w:rsid w:val="000A0C9A"/>
    <w:rsid w:val="000A1AC6"/>
    <w:rsid w:val="000A2857"/>
    <w:rsid w:val="000A290C"/>
    <w:rsid w:val="000A35B5"/>
    <w:rsid w:val="000A37BC"/>
    <w:rsid w:val="000A43A0"/>
    <w:rsid w:val="000A49A8"/>
    <w:rsid w:val="000A4B29"/>
    <w:rsid w:val="000A67F8"/>
    <w:rsid w:val="000A6B73"/>
    <w:rsid w:val="000A7AB9"/>
    <w:rsid w:val="000B1F19"/>
    <w:rsid w:val="000B2202"/>
    <w:rsid w:val="000B278F"/>
    <w:rsid w:val="000B2F26"/>
    <w:rsid w:val="000B3530"/>
    <w:rsid w:val="000B35FA"/>
    <w:rsid w:val="000B3AF7"/>
    <w:rsid w:val="000B43E7"/>
    <w:rsid w:val="000B465F"/>
    <w:rsid w:val="000B4AA6"/>
    <w:rsid w:val="000B556B"/>
    <w:rsid w:val="000B5937"/>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EE6"/>
    <w:rsid w:val="000C6B27"/>
    <w:rsid w:val="000C6E48"/>
    <w:rsid w:val="000C7102"/>
    <w:rsid w:val="000C7EB3"/>
    <w:rsid w:val="000D0085"/>
    <w:rsid w:val="000D0BA1"/>
    <w:rsid w:val="000D0E9A"/>
    <w:rsid w:val="000D10AB"/>
    <w:rsid w:val="000D115A"/>
    <w:rsid w:val="000D18DF"/>
    <w:rsid w:val="000D1970"/>
    <w:rsid w:val="000D2422"/>
    <w:rsid w:val="000D5118"/>
    <w:rsid w:val="000D5335"/>
    <w:rsid w:val="000D58B6"/>
    <w:rsid w:val="000D5B9D"/>
    <w:rsid w:val="000D5C09"/>
    <w:rsid w:val="000D5D71"/>
    <w:rsid w:val="000D5EE1"/>
    <w:rsid w:val="000D667B"/>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396E"/>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0EA9"/>
    <w:rsid w:val="000F14B9"/>
    <w:rsid w:val="000F256C"/>
    <w:rsid w:val="000F29F6"/>
    <w:rsid w:val="000F31FB"/>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62D"/>
    <w:rsid w:val="00100E5C"/>
    <w:rsid w:val="00101494"/>
    <w:rsid w:val="00101C27"/>
    <w:rsid w:val="00101C34"/>
    <w:rsid w:val="00101D02"/>
    <w:rsid w:val="00103A28"/>
    <w:rsid w:val="001046F5"/>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0DF3"/>
    <w:rsid w:val="0012169C"/>
    <w:rsid w:val="00121FF5"/>
    <w:rsid w:val="00123821"/>
    <w:rsid w:val="00124289"/>
    <w:rsid w:val="00124E13"/>
    <w:rsid w:val="00125881"/>
    <w:rsid w:val="00126709"/>
    <w:rsid w:val="00126CA6"/>
    <w:rsid w:val="001308F6"/>
    <w:rsid w:val="0013169D"/>
    <w:rsid w:val="001322FA"/>
    <w:rsid w:val="00132700"/>
    <w:rsid w:val="00132F32"/>
    <w:rsid w:val="0013378D"/>
    <w:rsid w:val="00133D05"/>
    <w:rsid w:val="0013506D"/>
    <w:rsid w:val="00135B4D"/>
    <w:rsid w:val="00136061"/>
    <w:rsid w:val="00136834"/>
    <w:rsid w:val="00136EA0"/>
    <w:rsid w:val="00136F3D"/>
    <w:rsid w:val="00137982"/>
    <w:rsid w:val="00137B5D"/>
    <w:rsid w:val="001402F2"/>
    <w:rsid w:val="00140427"/>
    <w:rsid w:val="00140C8D"/>
    <w:rsid w:val="0014152A"/>
    <w:rsid w:val="0014219D"/>
    <w:rsid w:val="00143C13"/>
    <w:rsid w:val="00144511"/>
    <w:rsid w:val="00144CFA"/>
    <w:rsid w:val="0014594C"/>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6EB9"/>
    <w:rsid w:val="00157359"/>
    <w:rsid w:val="00157EC4"/>
    <w:rsid w:val="0016031E"/>
    <w:rsid w:val="00160334"/>
    <w:rsid w:val="001617B9"/>
    <w:rsid w:val="00162690"/>
    <w:rsid w:val="0016274A"/>
    <w:rsid w:val="00162CC9"/>
    <w:rsid w:val="00163132"/>
    <w:rsid w:val="00163AFF"/>
    <w:rsid w:val="00163C61"/>
    <w:rsid w:val="00164BF9"/>
    <w:rsid w:val="001650B5"/>
    <w:rsid w:val="00165A8C"/>
    <w:rsid w:val="00165B03"/>
    <w:rsid w:val="0016639A"/>
    <w:rsid w:val="00166CEF"/>
    <w:rsid w:val="00167205"/>
    <w:rsid w:val="0016789C"/>
    <w:rsid w:val="00167BAA"/>
    <w:rsid w:val="00167BF6"/>
    <w:rsid w:val="00170005"/>
    <w:rsid w:val="00170CB4"/>
    <w:rsid w:val="00170D8A"/>
    <w:rsid w:val="00170DF7"/>
    <w:rsid w:val="001718DC"/>
    <w:rsid w:val="00171B98"/>
    <w:rsid w:val="001720E2"/>
    <w:rsid w:val="0017239C"/>
    <w:rsid w:val="0017434E"/>
    <w:rsid w:val="00174A3D"/>
    <w:rsid w:val="00175B25"/>
    <w:rsid w:val="00176367"/>
    <w:rsid w:val="0017793C"/>
    <w:rsid w:val="00177B67"/>
    <w:rsid w:val="00177CA1"/>
    <w:rsid w:val="0018029D"/>
    <w:rsid w:val="00180A37"/>
    <w:rsid w:val="00180A39"/>
    <w:rsid w:val="0018149C"/>
    <w:rsid w:val="001815F1"/>
    <w:rsid w:val="00181C7F"/>
    <w:rsid w:val="00181CE0"/>
    <w:rsid w:val="00183889"/>
    <w:rsid w:val="00183CEE"/>
    <w:rsid w:val="00184EB3"/>
    <w:rsid w:val="00184F92"/>
    <w:rsid w:val="001856EB"/>
    <w:rsid w:val="00185B97"/>
    <w:rsid w:val="00186262"/>
    <w:rsid w:val="00186634"/>
    <w:rsid w:val="00186D2E"/>
    <w:rsid w:val="001876A5"/>
    <w:rsid w:val="00187A6A"/>
    <w:rsid w:val="00187BDF"/>
    <w:rsid w:val="00187D2B"/>
    <w:rsid w:val="00190C0F"/>
    <w:rsid w:val="00190D3D"/>
    <w:rsid w:val="00190E7F"/>
    <w:rsid w:val="00192071"/>
    <w:rsid w:val="00192AB7"/>
    <w:rsid w:val="00193B74"/>
    <w:rsid w:val="0019591E"/>
    <w:rsid w:val="00196E90"/>
    <w:rsid w:val="00197367"/>
    <w:rsid w:val="00197B20"/>
    <w:rsid w:val="00197EC2"/>
    <w:rsid w:val="001A0665"/>
    <w:rsid w:val="001A1C89"/>
    <w:rsid w:val="001A2689"/>
    <w:rsid w:val="001A32ED"/>
    <w:rsid w:val="001A3878"/>
    <w:rsid w:val="001A4100"/>
    <w:rsid w:val="001A4937"/>
    <w:rsid w:val="001A49E4"/>
    <w:rsid w:val="001A4B27"/>
    <w:rsid w:val="001A4E34"/>
    <w:rsid w:val="001A4FA5"/>
    <w:rsid w:val="001A678E"/>
    <w:rsid w:val="001A76D9"/>
    <w:rsid w:val="001B0571"/>
    <w:rsid w:val="001B0B5B"/>
    <w:rsid w:val="001B0E71"/>
    <w:rsid w:val="001B0ECA"/>
    <w:rsid w:val="001B1F60"/>
    <w:rsid w:val="001B20C7"/>
    <w:rsid w:val="001B2301"/>
    <w:rsid w:val="001B3849"/>
    <w:rsid w:val="001B39CE"/>
    <w:rsid w:val="001B3C61"/>
    <w:rsid w:val="001B3C7B"/>
    <w:rsid w:val="001B4C1A"/>
    <w:rsid w:val="001B54DB"/>
    <w:rsid w:val="001B6B07"/>
    <w:rsid w:val="001B75C4"/>
    <w:rsid w:val="001B7694"/>
    <w:rsid w:val="001B77B1"/>
    <w:rsid w:val="001C0BCA"/>
    <w:rsid w:val="001C0F6B"/>
    <w:rsid w:val="001C10F5"/>
    <w:rsid w:val="001C1F5D"/>
    <w:rsid w:val="001C202E"/>
    <w:rsid w:val="001C27CD"/>
    <w:rsid w:val="001C2E62"/>
    <w:rsid w:val="001C3089"/>
    <w:rsid w:val="001C31B3"/>
    <w:rsid w:val="001C350F"/>
    <w:rsid w:val="001C372D"/>
    <w:rsid w:val="001C459E"/>
    <w:rsid w:val="001C45FD"/>
    <w:rsid w:val="001C550D"/>
    <w:rsid w:val="001C59D2"/>
    <w:rsid w:val="001C5C14"/>
    <w:rsid w:val="001C6163"/>
    <w:rsid w:val="001C6564"/>
    <w:rsid w:val="001C7654"/>
    <w:rsid w:val="001C7AEA"/>
    <w:rsid w:val="001C7F05"/>
    <w:rsid w:val="001D0102"/>
    <w:rsid w:val="001D012A"/>
    <w:rsid w:val="001D0238"/>
    <w:rsid w:val="001D06C5"/>
    <w:rsid w:val="001D08EA"/>
    <w:rsid w:val="001D0E8A"/>
    <w:rsid w:val="001D10AC"/>
    <w:rsid w:val="001D19F9"/>
    <w:rsid w:val="001D2063"/>
    <w:rsid w:val="001D2361"/>
    <w:rsid w:val="001D24B2"/>
    <w:rsid w:val="001D273C"/>
    <w:rsid w:val="001D3025"/>
    <w:rsid w:val="001D36C0"/>
    <w:rsid w:val="001D3EA9"/>
    <w:rsid w:val="001D4516"/>
    <w:rsid w:val="001D4FDF"/>
    <w:rsid w:val="001D56A9"/>
    <w:rsid w:val="001D59D0"/>
    <w:rsid w:val="001D6C15"/>
    <w:rsid w:val="001D7276"/>
    <w:rsid w:val="001D76A8"/>
    <w:rsid w:val="001D7703"/>
    <w:rsid w:val="001D7E41"/>
    <w:rsid w:val="001E011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9D8"/>
    <w:rsid w:val="001E6E65"/>
    <w:rsid w:val="001E6E6F"/>
    <w:rsid w:val="001E6F16"/>
    <w:rsid w:val="001E732D"/>
    <w:rsid w:val="001E74A2"/>
    <w:rsid w:val="001E779F"/>
    <w:rsid w:val="001E790E"/>
    <w:rsid w:val="001F064E"/>
    <w:rsid w:val="001F0DC7"/>
    <w:rsid w:val="001F1166"/>
    <w:rsid w:val="001F16B1"/>
    <w:rsid w:val="001F178D"/>
    <w:rsid w:val="001F2027"/>
    <w:rsid w:val="001F21F6"/>
    <w:rsid w:val="001F23DE"/>
    <w:rsid w:val="001F2A48"/>
    <w:rsid w:val="001F3CAC"/>
    <w:rsid w:val="001F405D"/>
    <w:rsid w:val="001F46FC"/>
    <w:rsid w:val="001F48BF"/>
    <w:rsid w:val="001F5359"/>
    <w:rsid w:val="001F5513"/>
    <w:rsid w:val="001F5720"/>
    <w:rsid w:val="001F58A7"/>
    <w:rsid w:val="001F5C28"/>
    <w:rsid w:val="001F5F5D"/>
    <w:rsid w:val="001F67B9"/>
    <w:rsid w:val="001F72D4"/>
    <w:rsid w:val="001F769A"/>
    <w:rsid w:val="001F7B0F"/>
    <w:rsid w:val="00200D69"/>
    <w:rsid w:val="002013B0"/>
    <w:rsid w:val="002019EC"/>
    <w:rsid w:val="00201B2D"/>
    <w:rsid w:val="00202016"/>
    <w:rsid w:val="002044F6"/>
    <w:rsid w:val="00204FEB"/>
    <w:rsid w:val="0020502B"/>
    <w:rsid w:val="002055A9"/>
    <w:rsid w:val="00205B14"/>
    <w:rsid w:val="00205EE2"/>
    <w:rsid w:val="00206FF1"/>
    <w:rsid w:val="0020759B"/>
    <w:rsid w:val="00207684"/>
    <w:rsid w:val="002100B3"/>
    <w:rsid w:val="002109A7"/>
    <w:rsid w:val="0021147E"/>
    <w:rsid w:val="0021162B"/>
    <w:rsid w:val="00212131"/>
    <w:rsid w:val="0021245C"/>
    <w:rsid w:val="002125E2"/>
    <w:rsid w:val="00213368"/>
    <w:rsid w:val="00213F0D"/>
    <w:rsid w:val="002142B4"/>
    <w:rsid w:val="002145B5"/>
    <w:rsid w:val="002147A1"/>
    <w:rsid w:val="002158E3"/>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A0F"/>
    <w:rsid w:val="00226E46"/>
    <w:rsid w:val="00227636"/>
    <w:rsid w:val="00230138"/>
    <w:rsid w:val="00230BEC"/>
    <w:rsid w:val="00230DA4"/>
    <w:rsid w:val="00230F58"/>
    <w:rsid w:val="002329AA"/>
    <w:rsid w:val="002337C2"/>
    <w:rsid w:val="0023431B"/>
    <w:rsid w:val="00234384"/>
    <w:rsid w:val="002344FE"/>
    <w:rsid w:val="00234606"/>
    <w:rsid w:val="002353AF"/>
    <w:rsid w:val="00235BCF"/>
    <w:rsid w:val="00235E3B"/>
    <w:rsid w:val="00235EA0"/>
    <w:rsid w:val="0023691D"/>
    <w:rsid w:val="00240EE5"/>
    <w:rsid w:val="00241635"/>
    <w:rsid w:val="00241943"/>
    <w:rsid w:val="00241BD4"/>
    <w:rsid w:val="00241EB2"/>
    <w:rsid w:val="00241FA1"/>
    <w:rsid w:val="00243E44"/>
    <w:rsid w:val="0024431A"/>
    <w:rsid w:val="002446CD"/>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149C"/>
    <w:rsid w:val="00252408"/>
    <w:rsid w:val="00252694"/>
    <w:rsid w:val="002534FB"/>
    <w:rsid w:val="00254232"/>
    <w:rsid w:val="0025438E"/>
    <w:rsid w:val="00255560"/>
    <w:rsid w:val="0025624C"/>
    <w:rsid w:val="0025707E"/>
    <w:rsid w:val="002572D9"/>
    <w:rsid w:val="00257AC3"/>
    <w:rsid w:val="0026044C"/>
    <w:rsid w:val="00260705"/>
    <w:rsid w:val="00260B80"/>
    <w:rsid w:val="002614AD"/>
    <w:rsid w:val="00261524"/>
    <w:rsid w:val="002615A3"/>
    <w:rsid w:val="00261840"/>
    <w:rsid w:val="00261921"/>
    <w:rsid w:val="0026197E"/>
    <w:rsid w:val="002621CA"/>
    <w:rsid w:val="002632FF"/>
    <w:rsid w:val="002634BD"/>
    <w:rsid w:val="00263DC6"/>
    <w:rsid w:val="002646A8"/>
    <w:rsid w:val="00264AE0"/>
    <w:rsid w:val="00264B96"/>
    <w:rsid w:val="00270F84"/>
    <w:rsid w:val="00270F85"/>
    <w:rsid w:val="00271102"/>
    <w:rsid w:val="0027165B"/>
    <w:rsid w:val="00272043"/>
    <w:rsid w:val="002733D6"/>
    <w:rsid w:val="00274A7B"/>
    <w:rsid w:val="002753F6"/>
    <w:rsid w:val="00275462"/>
    <w:rsid w:val="002758DB"/>
    <w:rsid w:val="002758E6"/>
    <w:rsid w:val="00275C6C"/>
    <w:rsid w:val="002765B2"/>
    <w:rsid w:val="00276AD0"/>
    <w:rsid w:val="00276FF1"/>
    <w:rsid w:val="002772CB"/>
    <w:rsid w:val="00280D59"/>
    <w:rsid w:val="0028151D"/>
    <w:rsid w:val="00281711"/>
    <w:rsid w:val="00281AE9"/>
    <w:rsid w:val="002829F6"/>
    <w:rsid w:val="00282AA2"/>
    <w:rsid w:val="00282BA4"/>
    <w:rsid w:val="002834E2"/>
    <w:rsid w:val="00283520"/>
    <w:rsid w:val="00283913"/>
    <w:rsid w:val="0028397A"/>
    <w:rsid w:val="00283C77"/>
    <w:rsid w:val="00284FD0"/>
    <w:rsid w:val="0028649D"/>
    <w:rsid w:val="00286E52"/>
    <w:rsid w:val="0028787D"/>
    <w:rsid w:val="002878A1"/>
    <w:rsid w:val="00290438"/>
    <w:rsid w:val="00290469"/>
    <w:rsid w:val="00290BF1"/>
    <w:rsid w:val="00291CEF"/>
    <w:rsid w:val="00292326"/>
    <w:rsid w:val="002924FD"/>
    <w:rsid w:val="00292A7A"/>
    <w:rsid w:val="002945BE"/>
    <w:rsid w:val="0029566F"/>
    <w:rsid w:val="00295A8F"/>
    <w:rsid w:val="00295B68"/>
    <w:rsid w:val="002973DF"/>
    <w:rsid w:val="002A001C"/>
    <w:rsid w:val="002A0146"/>
    <w:rsid w:val="002A02B7"/>
    <w:rsid w:val="002A0599"/>
    <w:rsid w:val="002A1649"/>
    <w:rsid w:val="002A1A4D"/>
    <w:rsid w:val="002A4635"/>
    <w:rsid w:val="002A5AB4"/>
    <w:rsid w:val="002A6695"/>
    <w:rsid w:val="002A6CB5"/>
    <w:rsid w:val="002A6FAE"/>
    <w:rsid w:val="002A71AA"/>
    <w:rsid w:val="002A7450"/>
    <w:rsid w:val="002B03B3"/>
    <w:rsid w:val="002B04F1"/>
    <w:rsid w:val="002B07F4"/>
    <w:rsid w:val="002B153B"/>
    <w:rsid w:val="002B2864"/>
    <w:rsid w:val="002B3FCC"/>
    <w:rsid w:val="002B4EF5"/>
    <w:rsid w:val="002B58D7"/>
    <w:rsid w:val="002B6022"/>
    <w:rsid w:val="002B7795"/>
    <w:rsid w:val="002B78AA"/>
    <w:rsid w:val="002C09F2"/>
    <w:rsid w:val="002C14C5"/>
    <w:rsid w:val="002C17F0"/>
    <w:rsid w:val="002C281F"/>
    <w:rsid w:val="002C3DA2"/>
    <w:rsid w:val="002C457C"/>
    <w:rsid w:val="002C496C"/>
    <w:rsid w:val="002C583D"/>
    <w:rsid w:val="002C5A44"/>
    <w:rsid w:val="002C656B"/>
    <w:rsid w:val="002C6972"/>
    <w:rsid w:val="002C74DD"/>
    <w:rsid w:val="002C785A"/>
    <w:rsid w:val="002C7C29"/>
    <w:rsid w:val="002D00E4"/>
    <w:rsid w:val="002D078E"/>
    <w:rsid w:val="002D0C75"/>
    <w:rsid w:val="002D0EA1"/>
    <w:rsid w:val="002D1314"/>
    <w:rsid w:val="002D1B93"/>
    <w:rsid w:val="002D3534"/>
    <w:rsid w:val="002D3E08"/>
    <w:rsid w:val="002D49F9"/>
    <w:rsid w:val="002D4F11"/>
    <w:rsid w:val="002D506B"/>
    <w:rsid w:val="002D509E"/>
    <w:rsid w:val="002D56B0"/>
    <w:rsid w:val="002D7E4C"/>
    <w:rsid w:val="002E0293"/>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1"/>
    <w:rsid w:val="002F2AD7"/>
    <w:rsid w:val="002F3856"/>
    <w:rsid w:val="002F3F06"/>
    <w:rsid w:val="002F3FE6"/>
    <w:rsid w:val="002F4142"/>
    <w:rsid w:val="002F4209"/>
    <w:rsid w:val="002F495E"/>
    <w:rsid w:val="002F4EEC"/>
    <w:rsid w:val="002F5246"/>
    <w:rsid w:val="002F52FA"/>
    <w:rsid w:val="002F581A"/>
    <w:rsid w:val="002F5CF8"/>
    <w:rsid w:val="002F6ED3"/>
    <w:rsid w:val="002F700C"/>
    <w:rsid w:val="002F709A"/>
    <w:rsid w:val="002F79CD"/>
    <w:rsid w:val="002F7D70"/>
    <w:rsid w:val="003007E7"/>
    <w:rsid w:val="00300A25"/>
    <w:rsid w:val="00301F58"/>
    <w:rsid w:val="00302D41"/>
    <w:rsid w:val="003030A0"/>
    <w:rsid w:val="00303292"/>
    <w:rsid w:val="00303517"/>
    <w:rsid w:val="003041DD"/>
    <w:rsid w:val="00305269"/>
    <w:rsid w:val="00305A3C"/>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4B46"/>
    <w:rsid w:val="0031570B"/>
    <w:rsid w:val="00315F1F"/>
    <w:rsid w:val="00316B5B"/>
    <w:rsid w:val="00316D07"/>
    <w:rsid w:val="0031711F"/>
    <w:rsid w:val="00317689"/>
    <w:rsid w:val="0031772E"/>
    <w:rsid w:val="003205B2"/>
    <w:rsid w:val="003205DD"/>
    <w:rsid w:val="00320760"/>
    <w:rsid w:val="00320DF7"/>
    <w:rsid w:val="003211D6"/>
    <w:rsid w:val="00321940"/>
    <w:rsid w:val="00322C34"/>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1E64"/>
    <w:rsid w:val="00342FF0"/>
    <w:rsid w:val="00343450"/>
    <w:rsid w:val="0034357C"/>
    <w:rsid w:val="00343AA7"/>
    <w:rsid w:val="00343E64"/>
    <w:rsid w:val="00344B8E"/>
    <w:rsid w:val="00345D17"/>
    <w:rsid w:val="00346AC1"/>
    <w:rsid w:val="0034792E"/>
    <w:rsid w:val="00347EE4"/>
    <w:rsid w:val="003516D1"/>
    <w:rsid w:val="0035188A"/>
    <w:rsid w:val="00351E6A"/>
    <w:rsid w:val="0035237C"/>
    <w:rsid w:val="00355B5C"/>
    <w:rsid w:val="00357962"/>
    <w:rsid w:val="00357E35"/>
    <w:rsid w:val="0036050E"/>
    <w:rsid w:val="00360D8A"/>
    <w:rsid w:val="00362355"/>
    <w:rsid w:val="0036423F"/>
    <w:rsid w:val="0036506F"/>
    <w:rsid w:val="00365191"/>
    <w:rsid w:val="00365777"/>
    <w:rsid w:val="00365A05"/>
    <w:rsid w:val="0036626B"/>
    <w:rsid w:val="003666B7"/>
    <w:rsid w:val="00366A37"/>
    <w:rsid w:val="00367318"/>
    <w:rsid w:val="0036745A"/>
    <w:rsid w:val="00367BA3"/>
    <w:rsid w:val="00367D1E"/>
    <w:rsid w:val="00367E49"/>
    <w:rsid w:val="00370E75"/>
    <w:rsid w:val="00370FE5"/>
    <w:rsid w:val="0037297B"/>
    <w:rsid w:val="00372A7D"/>
    <w:rsid w:val="00372E2E"/>
    <w:rsid w:val="0037336A"/>
    <w:rsid w:val="003737BE"/>
    <w:rsid w:val="00374925"/>
    <w:rsid w:val="003757FD"/>
    <w:rsid w:val="00375B26"/>
    <w:rsid w:val="00375E55"/>
    <w:rsid w:val="0037652B"/>
    <w:rsid w:val="0037666E"/>
    <w:rsid w:val="00376BED"/>
    <w:rsid w:val="00377185"/>
    <w:rsid w:val="003772DA"/>
    <w:rsid w:val="00377D58"/>
    <w:rsid w:val="003800D4"/>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979DC"/>
    <w:rsid w:val="003A0BA7"/>
    <w:rsid w:val="003A0E29"/>
    <w:rsid w:val="003A1327"/>
    <w:rsid w:val="003A170C"/>
    <w:rsid w:val="003A1BC7"/>
    <w:rsid w:val="003A2376"/>
    <w:rsid w:val="003A2E66"/>
    <w:rsid w:val="003A4488"/>
    <w:rsid w:val="003A46C6"/>
    <w:rsid w:val="003A4C2D"/>
    <w:rsid w:val="003A5EB5"/>
    <w:rsid w:val="003A62C5"/>
    <w:rsid w:val="003A63F6"/>
    <w:rsid w:val="003A7061"/>
    <w:rsid w:val="003A7A32"/>
    <w:rsid w:val="003B0020"/>
    <w:rsid w:val="003B0194"/>
    <w:rsid w:val="003B2308"/>
    <w:rsid w:val="003B25C8"/>
    <w:rsid w:val="003B2F49"/>
    <w:rsid w:val="003B32B4"/>
    <w:rsid w:val="003B4550"/>
    <w:rsid w:val="003B4810"/>
    <w:rsid w:val="003B4DAB"/>
    <w:rsid w:val="003B643C"/>
    <w:rsid w:val="003B6A6F"/>
    <w:rsid w:val="003B6E0D"/>
    <w:rsid w:val="003B7087"/>
    <w:rsid w:val="003B77B8"/>
    <w:rsid w:val="003B7AAC"/>
    <w:rsid w:val="003C00B8"/>
    <w:rsid w:val="003C0278"/>
    <w:rsid w:val="003C0520"/>
    <w:rsid w:val="003C0BB7"/>
    <w:rsid w:val="003C0FA0"/>
    <w:rsid w:val="003C0FB5"/>
    <w:rsid w:val="003C1039"/>
    <w:rsid w:val="003C1439"/>
    <w:rsid w:val="003C421A"/>
    <w:rsid w:val="003C4B33"/>
    <w:rsid w:val="003C61C0"/>
    <w:rsid w:val="003C63A7"/>
    <w:rsid w:val="003C6F09"/>
    <w:rsid w:val="003C71D0"/>
    <w:rsid w:val="003C744D"/>
    <w:rsid w:val="003C77D2"/>
    <w:rsid w:val="003D02D5"/>
    <w:rsid w:val="003D069C"/>
    <w:rsid w:val="003D0728"/>
    <w:rsid w:val="003D1BB6"/>
    <w:rsid w:val="003D2634"/>
    <w:rsid w:val="003D2EA7"/>
    <w:rsid w:val="003D44D8"/>
    <w:rsid w:val="003D4A03"/>
    <w:rsid w:val="003D57E8"/>
    <w:rsid w:val="003D5AF5"/>
    <w:rsid w:val="003D5FD7"/>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21A"/>
    <w:rsid w:val="003E2A5F"/>
    <w:rsid w:val="003E333E"/>
    <w:rsid w:val="003E35F3"/>
    <w:rsid w:val="003E375A"/>
    <w:rsid w:val="003E382B"/>
    <w:rsid w:val="003E44E0"/>
    <w:rsid w:val="003E495F"/>
    <w:rsid w:val="003E4980"/>
    <w:rsid w:val="003E5002"/>
    <w:rsid w:val="003E5D14"/>
    <w:rsid w:val="003E5DEA"/>
    <w:rsid w:val="003E61C8"/>
    <w:rsid w:val="003E628D"/>
    <w:rsid w:val="003E71F8"/>
    <w:rsid w:val="003E7405"/>
    <w:rsid w:val="003E79BC"/>
    <w:rsid w:val="003E7AB7"/>
    <w:rsid w:val="003E7B44"/>
    <w:rsid w:val="003E7BD1"/>
    <w:rsid w:val="003E7C17"/>
    <w:rsid w:val="003E7CC5"/>
    <w:rsid w:val="003F0720"/>
    <w:rsid w:val="003F0F3F"/>
    <w:rsid w:val="003F1380"/>
    <w:rsid w:val="003F173D"/>
    <w:rsid w:val="003F1D57"/>
    <w:rsid w:val="003F23DA"/>
    <w:rsid w:val="003F259C"/>
    <w:rsid w:val="003F2B25"/>
    <w:rsid w:val="003F2E1C"/>
    <w:rsid w:val="003F4196"/>
    <w:rsid w:val="003F470C"/>
    <w:rsid w:val="003F48AF"/>
    <w:rsid w:val="003F5071"/>
    <w:rsid w:val="003F52D7"/>
    <w:rsid w:val="003F6887"/>
    <w:rsid w:val="003F69CC"/>
    <w:rsid w:val="003F6CF8"/>
    <w:rsid w:val="00400456"/>
    <w:rsid w:val="00400A88"/>
    <w:rsid w:val="00400C4A"/>
    <w:rsid w:val="0040113C"/>
    <w:rsid w:val="004012B3"/>
    <w:rsid w:val="004018E7"/>
    <w:rsid w:val="0040193A"/>
    <w:rsid w:val="00401B84"/>
    <w:rsid w:val="0040266A"/>
    <w:rsid w:val="00402879"/>
    <w:rsid w:val="0040314D"/>
    <w:rsid w:val="004037F5"/>
    <w:rsid w:val="00403C32"/>
    <w:rsid w:val="004048E8"/>
    <w:rsid w:val="00404FC1"/>
    <w:rsid w:val="004050D0"/>
    <w:rsid w:val="00405461"/>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94E"/>
    <w:rsid w:val="00415A9F"/>
    <w:rsid w:val="004169A3"/>
    <w:rsid w:val="00416E65"/>
    <w:rsid w:val="00417701"/>
    <w:rsid w:val="00417781"/>
    <w:rsid w:val="00420E07"/>
    <w:rsid w:val="00421057"/>
    <w:rsid w:val="0042118E"/>
    <w:rsid w:val="004214EC"/>
    <w:rsid w:val="00421653"/>
    <w:rsid w:val="004217AD"/>
    <w:rsid w:val="004219BF"/>
    <w:rsid w:val="004221C6"/>
    <w:rsid w:val="00424382"/>
    <w:rsid w:val="00424410"/>
    <w:rsid w:val="00424C45"/>
    <w:rsid w:val="0042537F"/>
    <w:rsid w:val="004255D1"/>
    <w:rsid w:val="00425FFF"/>
    <w:rsid w:val="004277ED"/>
    <w:rsid w:val="00427A34"/>
    <w:rsid w:val="00430784"/>
    <w:rsid w:val="004310AB"/>
    <w:rsid w:val="004319C2"/>
    <w:rsid w:val="00431F7A"/>
    <w:rsid w:val="004324B5"/>
    <w:rsid w:val="00432764"/>
    <w:rsid w:val="00433A11"/>
    <w:rsid w:val="00434398"/>
    <w:rsid w:val="0043509E"/>
    <w:rsid w:val="00435974"/>
    <w:rsid w:val="00436ABB"/>
    <w:rsid w:val="00436EB4"/>
    <w:rsid w:val="00436FDA"/>
    <w:rsid w:val="0043784A"/>
    <w:rsid w:val="00437BF2"/>
    <w:rsid w:val="0044019E"/>
    <w:rsid w:val="0044039B"/>
    <w:rsid w:val="00441CB2"/>
    <w:rsid w:val="0044201A"/>
    <w:rsid w:val="004420DD"/>
    <w:rsid w:val="00442367"/>
    <w:rsid w:val="00443217"/>
    <w:rsid w:val="00443676"/>
    <w:rsid w:val="004436DD"/>
    <w:rsid w:val="0044560C"/>
    <w:rsid w:val="00446528"/>
    <w:rsid w:val="004465DF"/>
    <w:rsid w:val="00451383"/>
    <w:rsid w:val="00451D3E"/>
    <w:rsid w:val="004521D3"/>
    <w:rsid w:val="0045290C"/>
    <w:rsid w:val="00452EFA"/>
    <w:rsid w:val="00453E3B"/>
    <w:rsid w:val="0045408C"/>
    <w:rsid w:val="0045461E"/>
    <w:rsid w:val="00454651"/>
    <w:rsid w:val="00455313"/>
    <w:rsid w:val="00455F92"/>
    <w:rsid w:val="00455FBB"/>
    <w:rsid w:val="00456FE8"/>
    <w:rsid w:val="004606FE"/>
    <w:rsid w:val="00460A75"/>
    <w:rsid w:val="00461CA7"/>
    <w:rsid w:val="004623EA"/>
    <w:rsid w:val="00462966"/>
    <w:rsid w:val="00463575"/>
    <w:rsid w:val="004638E8"/>
    <w:rsid w:val="004647C6"/>
    <w:rsid w:val="00465DF9"/>
    <w:rsid w:val="0046613E"/>
    <w:rsid w:val="0046627B"/>
    <w:rsid w:val="00466FA5"/>
    <w:rsid w:val="004676C5"/>
    <w:rsid w:val="00467867"/>
    <w:rsid w:val="00467FDF"/>
    <w:rsid w:val="00470505"/>
    <w:rsid w:val="00470783"/>
    <w:rsid w:val="00470EC9"/>
    <w:rsid w:val="00471B2C"/>
    <w:rsid w:val="004723D0"/>
    <w:rsid w:val="00472470"/>
    <w:rsid w:val="00472719"/>
    <w:rsid w:val="004727BD"/>
    <w:rsid w:val="00472BA0"/>
    <w:rsid w:val="00473D41"/>
    <w:rsid w:val="004750A1"/>
    <w:rsid w:val="004755CF"/>
    <w:rsid w:val="004755FE"/>
    <w:rsid w:val="004758B3"/>
    <w:rsid w:val="00476D39"/>
    <w:rsid w:val="00476DF4"/>
    <w:rsid w:val="00476E14"/>
    <w:rsid w:val="004771B5"/>
    <w:rsid w:val="004807A8"/>
    <w:rsid w:val="00480EE3"/>
    <w:rsid w:val="004813E7"/>
    <w:rsid w:val="00482018"/>
    <w:rsid w:val="0048212C"/>
    <w:rsid w:val="004821FF"/>
    <w:rsid w:val="00482C6F"/>
    <w:rsid w:val="00483173"/>
    <w:rsid w:val="004833A0"/>
    <w:rsid w:val="004834F5"/>
    <w:rsid w:val="00483761"/>
    <w:rsid w:val="0048510A"/>
    <w:rsid w:val="00486B4B"/>
    <w:rsid w:val="00490190"/>
    <w:rsid w:val="0049049C"/>
    <w:rsid w:val="004905B0"/>
    <w:rsid w:val="004908FA"/>
    <w:rsid w:val="00490A6D"/>
    <w:rsid w:val="0049190E"/>
    <w:rsid w:val="00491BF7"/>
    <w:rsid w:val="00491DC7"/>
    <w:rsid w:val="0049213D"/>
    <w:rsid w:val="004923F3"/>
    <w:rsid w:val="00492DC5"/>
    <w:rsid w:val="00495F29"/>
    <w:rsid w:val="00496068"/>
    <w:rsid w:val="00496170"/>
    <w:rsid w:val="00496D42"/>
    <w:rsid w:val="00496D7B"/>
    <w:rsid w:val="004A024E"/>
    <w:rsid w:val="004A1069"/>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9CD"/>
    <w:rsid w:val="004B3A83"/>
    <w:rsid w:val="004B42D2"/>
    <w:rsid w:val="004B5AD2"/>
    <w:rsid w:val="004B7343"/>
    <w:rsid w:val="004C0260"/>
    <w:rsid w:val="004C0607"/>
    <w:rsid w:val="004C0E72"/>
    <w:rsid w:val="004C114D"/>
    <w:rsid w:val="004C1552"/>
    <w:rsid w:val="004C178B"/>
    <w:rsid w:val="004C1856"/>
    <w:rsid w:val="004C230A"/>
    <w:rsid w:val="004C2680"/>
    <w:rsid w:val="004C273D"/>
    <w:rsid w:val="004C31D3"/>
    <w:rsid w:val="004C48EE"/>
    <w:rsid w:val="004C4E5E"/>
    <w:rsid w:val="004C4F9B"/>
    <w:rsid w:val="004C6362"/>
    <w:rsid w:val="004C63A8"/>
    <w:rsid w:val="004C651B"/>
    <w:rsid w:val="004C671F"/>
    <w:rsid w:val="004C69F4"/>
    <w:rsid w:val="004C75CD"/>
    <w:rsid w:val="004C7841"/>
    <w:rsid w:val="004C7988"/>
    <w:rsid w:val="004C7B89"/>
    <w:rsid w:val="004C7BEC"/>
    <w:rsid w:val="004D0CDC"/>
    <w:rsid w:val="004D0E08"/>
    <w:rsid w:val="004D21DE"/>
    <w:rsid w:val="004D2A2D"/>
    <w:rsid w:val="004D309E"/>
    <w:rsid w:val="004D3EAE"/>
    <w:rsid w:val="004D413D"/>
    <w:rsid w:val="004D425E"/>
    <w:rsid w:val="004D53AA"/>
    <w:rsid w:val="004D5547"/>
    <w:rsid w:val="004D6899"/>
    <w:rsid w:val="004D68B1"/>
    <w:rsid w:val="004D6DEF"/>
    <w:rsid w:val="004D77F5"/>
    <w:rsid w:val="004D7AD2"/>
    <w:rsid w:val="004D7C64"/>
    <w:rsid w:val="004E0036"/>
    <w:rsid w:val="004E0263"/>
    <w:rsid w:val="004E07AF"/>
    <w:rsid w:val="004E0920"/>
    <w:rsid w:val="004E1E88"/>
    <w:rsid w:val="004E2548"/>
    <w:rsid w:val="004E2D44"/>
    <w:rsid w:val="004E3C4B"/>
    <w:rsid w:val="004E40B3"/>
    <w:rsid w:val="004E4A54"/>
    <w:rsid w:val="004E4E98"/>
    <w:rsid w:val="004E751C"/>
    <w:rsid w:val="004E7E0E"/>
    <w:rsid w:val="004F1EEA"/>
    <w:rsid w:val="004F2041"/>
    <w:rsid w:val="004F2135"/>
    <w:rsid w:val="004F268F"/>
    <w:rsid w:val="004F269B"/>
    <w:rsid w:val="004F2868"/>
    <w:rsid w:val="004F34CA"/>
    <w:rsid w:val="004F363F"/>
    <w:rsid w:val="004F3F4E"/>
    <w:rsid w:val="004F4D22"/>
    <w:rsid w:val="004F5A68"/>
    <w:rsid w:val="004F5D0A"/>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997"/>
    <w:rsid w:val="005053E7"/>
    <w:rsid w:val="00505B05"/>
    <w:rsid w:val="0050612D"/>
    <w:rsid w:val="0050629A"/>
    <w:rsid w:val="00507187"/>
    <w:rsid w:val="005072DF"/>
    <w:rsid w:val="00510683"/>
    <w:rsid w:val="00510DD2"/>
    <w:rsid w:val="00510F21"/>
    <w:rsid w:val="00511A1C"/>
    <w:rsid w:val="00512D78"/>
    <w:rsid w:val="00513FA0"/>
    <w:rsid w:val="00514241"/>
    <w:rsid w:val="00514C80"/>
    <w:rsid w:val="005150D2"/>
    <w:rsid w:val="0051531D"/>
    <w:rsid w:val="0051544C"/>
    <w:rsid w:val="00515639"/>
    <w:rsid w:val="00515EB3"/>
    <w:rsid w:val="00515EFB"/>
    <w:rsid w:val="00516F9B"/>
    <w:rsid w:val="005176DF"/>
    <w:rsid w:val="00517FDA"/>
    <w:rsid w:val="005206D5"/>
    <w:rsid w:val="005208FB"/>
    <w:rsid w:val="005211AB"/>
    <w:rsid w:val="00521684"/>
    <w:rsid w:val="00521ACD"/>
    <w:rsid w:val="0052268E"/>
    <w:rsid w:val="00522BEF"/>
    <w:rsid w:val="0052312D"/>
    <w:rsid w:val="00523405"/>
    <w:rsid w:val="005238E9"/>
    <w:rsid w:val="00525095"/>
    <w:rsid w:val="0052512E"/>
    <w:rsid w:val="00525F4C"/>
    <w:rsid w:val="00526534"/>
    <w:rsid w:val="00526606"/>
    <w:rsid w:val="00527521"/>
    <w:rsid w:val="0052771D"/>
    <w:rsid w:val="00527A63"/>
    <w:rsid w:val="00527C83"/>
    <w:rsid w:val="00530F53"/>
    <w:rsid w:val="00531DA7"/>
    <w:rsid w:val="0053231C"/>
    <w:rsid w:val="00532946"/>
    <w:rsid w:val="00532AA1"/>
    <w:rsid w:val="005335CB"/>
    <w:rsid w:val="00534A2D"/>
    <w:rsid w:val="00534EAD"/>
    <w:rsid w:val="00535207"/>
    <w:rsid w:val="00535C45"/>
    <w:rsid w:val="005364CC"/>
    <w:rsid w:val="005368B4"/>
    <w:rsid w:val="005369AB"/>
    <w:rsid w:val="00537386"/>
    <w:rsid w:val="005375B6"/>
    <w:rsid w:val="00537723"/>
    <w:rsid w:val="00537927"/>
    <w:rsid w:val="005400AA"/>
    <w:rsid w:val="00540183"/>
    <w:rsid w:val="005401AB"/>
    <w:rsid w:val="00540E2D"/>
    <w:rsid w:val="00541F17"/>
    <w:rsid w:val="0054251F"/>
    <w:rsid w:val="00544BC8"/>
    <w:rsid w:val="0054519E"/>
    <w:rsid w:val="0054544C"/>
    <w:rsid w:val="00545A1C"/>
    <w:rsid w:val="00545AF2"/>
    <w:rsid w:val="00545C0F"/>
    <w:rsid w:val="00546A98"/>
    <w:rsid w:val="0054719A"/>
    <w:rsid w:val="005472CB"/>
    <w:rsid w:val="00550275"/>
    <w:rsid w:val="005504BE"/>
    <w:rsid w:val="005505C2"/>
    <w:rsid w:val="00550B16"/>
    <w:rsid w:val="005524EE"/>
    <w:rsid w:val="00552557"/>
    <w:rsid w:val="005527CF"/>
    <w:rsid w:val="00552D87"/>
    <w:rsid w:val="00553062"/>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A59"/>
    <w:rsid w:val="00575CFB"/>
    <w:rsid w:val="00576150"/>
    <w:rsid w:val="00577915"/>
    <w:rsid w:val="00577AA2"/>
    <w:rsid w:val="00577B03"/>
    <w:rsid w:val="00580585"/>
    <w:rsid w:val="00581859"/>
    <w:rsid w:val="00581908"/>
    <w:rsid w:val="00582803"/>
    <w:rsid w:val="00582B4E"/>
    <w:rsid w:val="005830F7"/>
    <w:rsid w:val="005831F3"/>
    <w:rsid w:val="00583511"/>
    <w:rsid w:val="00583A10"/>
    <w:rsid w:val="00583AC3"/>
    <w:rsid w:val="00584556"/>
    <w:rsid w:val="00584935"/>
    <w:rsid w:val="00585772"/>
    <w:rsid w:val="005862DC"/>
    <w:rsid w:val="00586CAD"/>
    <w:rsid w:val="00586DE3"/>
    <w:rsid w:val="005875E0"/>
    <w:rsid w:val="00587872"/>
    <w:rsid w:val="00587BCD"/>
    <w:rsid w:val="00587E2E"/>
    <w:rsid w:val="00587E3D"/>
    <w:rsid w:val="005902E4"/>
    <w:rsid w:val="00590CEE"/>
    <w:rsid w:val="0059184D"/>
    <w:rsid w:val="00591CC5"/>
    <w:rsid w:val="00591E62"/>
    <w:rsid w:val="00591F60"/>
    <w:rsid w:val="00592DCF"/>
    <w:rsid w:val="00593104"/>
    <w:rsid w:val="005933FF"/>
    <w:rsid w:val="005940CC"/>
    <w:rsid w:val="00594130"/>
    <w:rsid w:val="00594794"/>
    <w:rsid w:val="00594B9F"/>
    <w:rsid w:val="00595E89"/>
    <w:rsid w:val="005969C8"/>
    <w:rsid w:val="00596FF9"/>
    <w:rsid w:val="0059793D"/>
    <w:rsid w:val="00597A82"/>
    <w:rsid w:val="00597B46"/>
    <w:rsid w:val="005A0ABB"/>
    <w:rsid w:val="005A1049"/>
    <w:rsid w:val="005A152C"/>
    <w:rsid w:val="005A3C2D"/>
    <w:rsid w:val="005A3FCD"/>
    <w:rsid w:val="005A409A"/>
    <w:rsid w:val="005A40B7"/>
    <w:rsid w:val="005A4E59"/>
    <w:rsid w:val="005A5451"/>
    <w:rsid w:val="005A6891"/>
    <w:rsid w:val="005A6EFF"/>
    <w:rsid w:val="005A7475"/>
    <w:rsid w:val="005A759A"/>
    <w:rsid w:val="005B022A"/>
    <w:rsid w:val="005B0987"/>
    <w:rsid w:val="005B2177"/>
    <w:rsid w:val="005B3375"/>
    <w:rsid w:val="005B39E2"/>
    <w:rsid w:val="005B3D19"/>
    <w:rsid w:val="005B3F97"/>
    <w:rsid w:val="005B5569"/>
    <w:rsid w:val="005B6E41"/>
    <w:rsid w:val="005B757D"/>
    <w:rsid w:val="005C04DB"/>
    <w:rsid w:val="005C0CDA"/>
    <w:rsid w:val="005C16FD"/>
    <w:rsid w:val="005C21C7"/>
    <w:rsid w:val="005C37EB"/>
    <w:rsid w:val="005C3917"/>
    <w:rsid w:val="005C3995"/>
    <w:rsid w:val="005C3996"/>
    <w:rsid w:val="005C39A6"/>
    <w:rsid w:val="005C4276"/>
    <w:rsid w:val="005C474B"/>
    <w:rsid w:val="005C4E6D"/>
    <w:rsid w:val="005C4E7A"/>
    <w:rsid w:val="005C4F64"/>
    <w:rsid w:val="005C4F76"/>
    <w:rsid w:val="005C5405"/>
    <w:rsid w:val="005C5478"/>
    <w:rsid w:val="005C59C5"/>
    <w:rsid w:val="005C5BB3"/>
    <w:rsid w:val="005C6087"/>
    <w:rsid w:val="005C64FE"/>
    <w:rsid w:val="005C6F39"/>
    <w:rsid w:val="005C7BBB"/>
    <w:rsid w:val="005C7CBD"/>
    <w:rsid w:val="005D0243"/>
    <w:rsid w:val="005D045B"/>
    <w:rsid w:val="005D04B3"/>
    <w:rsid w:val="005D0A8C"/>
    <w:rsid w:val="005D0BF0"/>
    <w:rsid w:val="005D0EFA"/>
    <w:rsid w:val="005D14A8"/>
    <w:rsid w:val="005D2208"/>
    <w:rsid w:val="005D2B05"/>
    <w:rsid w:val="005D2D86"/>
    <w:rsid w:val="005D2F87"/>
    <w:rsid w:val="005D3156"/>
    <w:rsid w:val="005D331D"/>
    <w:rsid w:val="005D3DDF"/>
    <w:rsid w:val="005D4072"/>
    <w:rsid w:val="005D4A43"/>
    <w:rsid w:val="005D4CC4"/>
    <w:rsid w:val="005D4F18"/>
    <w:rsid w:val="005D6CA2"/>
    <w:rsid w:val="005D6DEF"/>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BF7"/>
    <w:rsid w:val="005E4D38"/>
    <w:rsid w:val="005E4E79"/>
    <w:rsid w:val="005E4E8F"/>
    <w:rsid w:val="005E500F"/>
    <w:rsid w:val="005E5728"/>
    <w:rsid w:val="005E5945"/>
    <w:rsid w:val="005E5958"/>
    <w:rsid w:val="005E6086"/>
    <w:rsid w:val="005E612F"/>
    <w:rsid w:val="005E6549"/>
    <w:rsid w:val="005E6AA5"/>
    <w:rsid w:val="005E79CF"/>
    <w:rsid w:val="005E7B63"/>
    <w:rsid w:val="005E7C51"/>
    <w:rsid w:val="005F0EBB"/>
    <w:rsid w:val="005F111D"/>
    <w:rsid w:val="005F1C95"/>
    <w:rsid w:val="005F1FA1"/>
    <w:rsid w:val="005F2D25"/>
    <w:rsid w:val="005F43E7"/>
    <w:rsid w:val="005F466E"/>
    <w:rsid w:val="005F5231"/>
    <w:rsid w:val="005F5C82"/>
    <w:rsid w:val="005F6C67"/>
    <w:rsid w:val="005F6E45"/>
    <w:rsid w:val="005F73F8"/>
    <w:rsid w:val="00600172"/>
    <w:rsid w:val="006002FC"/>
    <w:rsid w:val="00600ED0"/>
    <w:rsid w:val="0060114F"/>
    <w:rsid w:val="006013E0"/>
    <w:rsid w:val="00602172"/>
    <w:rsid w:val="006025D9"/>
    <w:rsid w:val="00602B8F"/>
    <w:rsid w:val="00603072"/>
    <w:rsid w:val="00603453"/>
    <w:rsid w:val="00603B75"/>
    <w:rsid w:val="00603BB9"/>
    <w:rsid w:val="00604926"/>
    <w:rsid w:val="006055E6"/>
    <w:rsid w:val="0060571B"/>
    <w:rsid w:val="00605C1C"/>
    <w:rsid w:val="0060644B"/>
    <w:rsid w:val="006065B3"/>
    <w:rsid w:val="00606918"/>
    <w:rsid w:val="00607237"/>
    <w:rsid w:val="006074DC"/>
    <w:rsid w:val="00610CA5"/>
    <w:rsid w:val="0061158F"/>
    <w:rsid w:val="0061194F"/>
    <w:rsid w:val="00611BEC"/>
    <w:rsid w:val="00611C7F"/>
    <w:rsid w:val="00611D92"/>
    <w:rsid w:val="00612517"/>
    <w:rsid w:val="00612D2E"/>
    <w:rsid w:val="00612ED4"/>
    <w:rsid w:val="006131EB"/>
    <w:rsid w:val="006135A8"/>
    <w:rsid w:val="00613F20"/>
    <w:rsid w:val="006147E3"/>
    <w:rsid w:val="006148A7"/>
    <w:rsid w:val="00615093"/>
    <w:rsid w:val="00615713"/>
    <w:rsid w:val="00615DAC"/>
    <w:rsid w:val="00616AD5"/>
    <w:rsid w:val="00617432"/>
    <w:rsid w:val="0061762E"/>
    <w:rsid w:val="006178D6"/>
    <w:rsid w:val="00617B0E"/>
    <w:rsid w:val="00617B69"/>
    <w:rsid w:val="00617C21"/>
    <w:rsid w:val="00617E71"/>
    <w:rsid w:val="0062028B"/>
    <w:rsid w:val="006204A5"/>
    <w:rsid w:val="00620F17"/>
    <w:rsid w:val="006226E1"/>
    <w:rsid w:val="00623B0E"/>
    <w:rsid w:val="00624236"/>
    <w:rsid w:val="0062459B"/>
    <w:rsid w:val="006248A6"/>
    <w:rsid w:val="0062573D"/>
    <w:rsid w:val="00625751"/>
    <w:rsid w:val="00627421"/>
    <w:rsid w:val="00627425"/>
    <w:rsid w:val="006278EE"/>
    <w:rsid w:val="00630C3B"/>
    <w:rsid w:val="006312A6"/>
    <w:rsid w:val="006313DB"/>
    <w:rsid w:val="0063149E"/>
    <w:rsid w:val="006321EE"/>
    <w:rsid w:val="006322F0"/>
    <w:rsid w:val="0063294D"/>
    <w:rsid w:val="0063375F"/>
    <w:rsid w:val="00634F25"/>
    <w:rsid w:val="00635064"/>
    <w:rsid w:val="006350DA"/>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1C2F"/>
    <w:rsid w:val="00643359"/>
    <w:rsid w:val="00643EA8"/>
    <w:rsid w:val="00644010"/>
    <w:rsid w:val="00644806"/>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22A6"/>
    <w:rsid w:val="00662783"/>
    <w:rsid w:val="006629A3"/>
    <w:rsid w:val="00663A4E"/>
    <w:rsid w:val="00664CD3"/>
    <w:rsid w:val="00664E34"/>
    <w:rsid w:val="00665910"/>
    <w:rsid w:val="00665D37"/>
    <w:rsid w:val="00665FDC"/>
    <w:rsid w:val="00665FE2"/>
    <w:rsid w:val="006667DA"/>
    <w:rsid w:val="00666869"/>
    <w:rsid w:val="00667787"/>
    <w:rsid w:val="00670570"/>
    <w:rsid w:val="006707C2"/>
    <w:rsid w:val="006708B8"/>
    <w:rsid w:val="00670C4D"/>
    <w:rsid w:val="00671023"/>
    <w:rsid w:val="006711A3"/>
    <w:rsid w:val="0067290C"/>
    <w:rsid w:val="006736E0"/>
    <w:rsid w:val="006738A7"/>
    <w:rsid w:val="00673D5B"/>
    <w:rsid w:val="00675963"/>
    <w:rsid w:val="00675EA3"/>
    <w:rsid w:val="0067607D"/>
    <w:rsid w:val="006762A9"/>
    <w:rsid w:val="00676355"/>
    <w:rsid w:val="0067649C"/>
    <w:rsid w:val="00676648"/>
    <w:rsid w:val="006769B5"/>
    <w:rsid w:val="00676E61"/>
    <w:rsid w:val="00677764"/>
    <w:rsid w:val="00680281"/>
    <w:rsid w:val="006803D1"/>
    <w:rsid w:val="00680548"/>
    <w:rsid w:val="0068129F"/>
    <w:rsid w:val="006820D3"/>
    <w:rsid w:val="0068254F"/>
    <w:rsid w:val="0068289E"/>
    <w:rsid w:val="00682E4B"/>
    <w:rsid w:val="00683043"/>
    <w:rsid w:val="00684AB1"/>
    <w:rsid w:val="006857BA"/>
    <w:rsid w:val="00685C2D"/>
    <w:rsid w:val="00686079"/>
    <w:rsid w:val="00686328"/>
    <w:rsid w:val="00686510"/>
    <w:rsid w:val="00686671"/>
    <w:rsid w:val="006869ED"/>
    <w:rsid w:val="006900D0"/>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7320"/>
    <w:rsid w:val="006976DF"/>
    <w:rsid w:val="006A0B35"/>
    <w:rsid w:val="006A0FAC"/>
    <w:rsid w:val="006A12E3"/>
    <w:rsid w:val="006A1B63"/>
    <w:rsid w:val="006A1C52"/>
    <w:rsid w:val="006A21DB"/>
    <w:rsid w:val="006A2E2B"/>
    <w:rsid w:val="006A3C50"/>
    <w:rsid w:val="006A44D6"/>
    <w:rsid w:val="006A7060"/>
    <w:rsid w:val="006A72E9"/>
    <w:rsid w:val="006A7CCE"/>
    <w:rsid w:val="006B0887"/>
    <w:rsid w:val="006B0917"/>
    <w:rsid w:val="006B1514"/>
    <w:rsid w:val="006B1B45"/>
    <w:rsid w:val="006B1BFD"/>
    <w:rsid w:val="006B287B"/>
    <w:rsid w:val="006B2D11"/>
    <w:rsid w:val="006B3FD1"/>
    <w:rsid w:val="006B479D"/>
    <w:rsid w:val="006C0252"/>
    <w:rsid w:val="006C032D"/>
    <w:rsid w:val="006C05F5"/>
    <w:rsid w:val="006C06E1"/>
    <w:rsid w:val="006C0D1A"/>
    <w:rsid w:val="006C1B61"/>
    <w:rsid w:val="006C1BED"/>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AC0"/>
    <w:rsid w:val="006D1BB9"/>
    <w:rsid w:val="006D1BD2"/>
    <w:rsid w:val="006D1CB2"/>
    <w:rsid w:val="006D255A"/>
    <w:rsid w:val="006D27B4"/>
    <w:rsid w:val="006D2961"/>
    <w:rsid w:val="006D32A6"/>
    <w:rsid w:val="006D3386"/>
    <w:rsid w:val="006D35F0"/>
    <w:rsid w:val="006D399C"/>
    <w:rsid w:val="006D4409"/>
    <w:rsid w:val="006D4500"/>
    <w:rsid w:val="006D4A5A"/>
    <w:rsid w:val="006D4C85"/>
    <w:rsid w:val="006D4D70"/>
    <w:rsid w:val="006D5B99"/>
    <w:rsid w:val="006D5BB8"/>
    <w:rsid w:val="006D6A76"/>
    <w:rsid w:val="006D7129"/>
    <w:rsid w:val="006D7756"/>
    <w:rsid w:val="006E028A"/>
    <w:rsid w:val="006E06D2"/>
    <w:rsid w:val="006E0F9A"/>
    <w:rsid w:val="006E169C"/>
    <w:rsid w:val="006E2291"/>
    <w:rsid w:val="006E3843"/>
    <w:rsid w:val="006E38FC"/>
    <w:rsid w:val="006E3BD2"/>
    <w:rsid w:val="006E3CB5"/>
    <w:rsid w:val="006E414A"/>
    <w:rsid w:val="006E4483"/>
    <w:rsid w:val="006E471D"/>
    <w:rsid w:val="006E488D"/>
    <w:rsid w:val="006E4DE3"/>
    <w:rsid w:val="006E5109"/>
    <w:rsid w:val="006E55C3"/>
    <w:rsid w:val="006E5A2B"/>
    <w:rsid w:val="006E651D"/>
    <w:rsid w:val="006E6967"/>
    <w:rsid w:val="006E7E30"/>
    <w:rsid w:val="006F000B"/>
    <w:rsid w:val="006F0FDA"/>
    <w:rsid w:val="006F132E"/>
    <w:rsid w:val="006F1368"/>
    <w:rsid w:val="006F263C"/>
    <w:rsid w:val="006F38CF"/>
    <w:rsid w:val="006F39AA"/>
    <w:rsid w:val="006F39AE"/>
    <w:rsid w:val="006F42AE"/>
    <w:rsid w:val="006F5128"/>
    <w:rsid w:val="006F5AD3"/>
    <w:rsid w:val="006F5EDF"/>
    <w:rsid w:val="006F65D6"/>
    <w:rsid w:val="006F6940"/>
    <w:rsid w:val="006F76D2"/>
    <w:rsid w:val="006F7CFD"/>
    <w:rsid w:val="00700175"/>
    <w:rsid w:val="00701BBB"/>
    <w:rsid w:val="00703AD8"/>
    <w:rsid w:val="00703CF9"/>
    <w:rsid w:val="00703EE7"/>
    <w:rsid w:val="0070510C"/>
    <w:rsid w:val="007051FC"/>
    <w:rsid w:val="00705C38"/>
    <w:rsid w:val="00705C76"/>
    <w:rsid w:val="00705E3C"/>
    <w:rsid w:val="0070636B"/>
    <w:rsid w:val="007069F7"/>
    <w:rsid w:val="00706A2F"/>
    <w:rsid w:val="007073EF"/>
    <w:rsid w:val="0070776B"/>
    <w:rsid w:val="00707848"/>
    <w:rsid w:val="007078E7"/>
    <w:rsid w:val="00707CC0"/>
    <w:rsid w:val="00707D7A"/>
    <w:rsid w:val="007102DB"/>
    <w:rsid w:val="00710CE0"/>
    <w:rsid w:val="007120E5"/>
    <w:rsid w:val="00712234"/>
    <w:rsid w:val="00712430"/>
    <w:rsid w:val="0071281E"/>
    <w:rsid w:val="00713E27"/>
    <w:rsid w:val="007141DC"/>
    <w:rsid w:val="00714BC7"/>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A82"/>
    <w:rsid w:val="00731D52"/>
    <w:rsid w:val="00732472"/>
    <w:rsid w:val="00732763"/>
    <w:rsid w:val="00732A4A"/>
    <w:rsid w:val="0073332B"/>
    <w:rsid w:val="0073337E"/>
    <w:rsid w:val="00734046"/>
    <w:rsid w:val="007353AB"/>
    <w:rsid w:val="00736FF6"/>
    <w:rsid w:val="007370B4"/>
    <w:rsid w:val="0073713A"/>
    <w:rsid w:val="0073714B"/>
    <w:rsid w:val="007400DB"/>
    <w:rsid w:val="00740487"/>
    <w:rsid w:val="00740A7A"/>
    <w:rsid w:val="00741186"/>
    <w:rsid w:val="007414B5"/>
    <w:rsid w:val="0074165F"/>
    <w:rsid w:val="00741FF7"/>
    <w:rsid w:val="00742262"/>
    <w:rsid w:val="00742443"/>
    <w:rsid w:val="00742993"/>
    <w:rsid w:val="00744F44"/>
    <w:rsid w:val="0074568D"/>
    <w:rsid w:val="00746350"/>
    <w:rsid w:val="00750C5F"/>
    <w:rsid w:val="007512AA"/>
    <w:rsid w:val="00751418"/>
    <w:rsid w:val="007518C7"/>
    <w:rsid w:val="00751DA0"/>
    <w:rsid w:val="00751EB1"/>
    <w:rsid w:val="007524A3"/>
    <w:rsid w:val="00752920"/>
    <w:rsid w:val="00752CBF"/>
    <w:rsid w:val="00753695"/>
    <w:rsid w:val="00753A12"/>
    <w:rsid w:val="0075405B"/>
    <w:rsid w:val="0075490F"/>
    <w:rsid w:val="00754E86"/>
    <w:rsid w:val="00760C4A"/>
    <w:rsid w:val="007619FC"/>
    <w:rsid w:val="00761D2B"/>
    <w:rsid w:val="00762396"/>
    <w:rsid w:val="00762891"/>
    <w:rsid w:val="00763D3E"/>
    <w:rsid w:val="007656F7"/>
    <w:rsid w:val="00765FE9"/>
    <w:rsid w:val="00766AC1"/>
    <w:rsid w:val="00766C0D"/>
    <w:rsid w:val="00770F70"/>
    <w:rsid w:val="00771039"/>
    <w:rsid w:val="007710FF"/>
    <w:rsid w:val="007711BE"/>
    <w:rsid w:val="00771C4D"/>
    <w:rsid w:val="00771E73"/>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4D7"/>
    <w:rsid w:val="007836DF"/>
    <w:rsid w:val="007840F7"/>
    <w:rsid w:val="00784752"/>
    <w:rsid w:val="007847DC"/>
    <w:rsid w:val="0078518C"/>
    <w:rsid w:val="00785B6B"/>
    <w:rsid w:val="007865DE"/>
    <w:rsid w:val="00786D7D"/>
    <w:rsid w:val="00787390"/>
    <w:rsid w:val="007875B2"/>
    <w:rsid w:val="00787AD7"/>
    <w:rsid w:val="00787E27"/>
    <w:rsid w:val="00790F58"/>
    <w:rsid w:val="007921CA"/>
    <w:rsid w:val="00792D0D"/>
    <w:rsid w:val="00792D2A"/>
    <w:rsid w:val="00793702"/>
    <w:rsid w:val="0079435B"/>
    <w:rsid w:val="007945A5"/>
    <w:rsid w:val="0079460D"/>
    <w:rsid w:val="007949FF"/>
    <w:rsid w:val="00794A78"/>
    <w:rsid w:val="0079504E"/>
    <w:rsid w:val="007951CE"/>
    <w:rsid w:val="00795711"/>
    <w:rsid w:val="00796BB6"/>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13FC"/>
    <w:rsid w:val="007B260E"/>
    <w:rsid w:val="007B3759"/>
    <w:rsid w:val="007B6AAC"/>
    <w:rsid w:val="007B75EA"/>
    <w:rsid w:val="007B760B"/>
    <w:rsid w:val="007B7840"/>
    <w:rsid w:val="007C0182"/>
    <w:rsid w:val="007C1502"/>
    <w:rsid w:val="007C1B39"/>
    <w:rsid w:val="007C225A"/>
    <w:rsid w:val="007C2DD5"/>
    <w:rsid w:val="007C3370"/>
    <w:rsid w:val="007C3F08"/>
    <w:rsid w:val="007C563E"/>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4B87"/>
    <w:rsid w:val="007D51E1"/>
    <w:rsid w:val="007D573E"/>
    <w:rsid w:val="007D5B9F"/>
    <w:rsid w:val="007D660E"/>
    <w:rsid w:val="007D6C4C"/>
    <w:rsid w:val="007E0248"/>
    <w:rsid w:val="007E030D"/>
    <w:rsid w:val="007E045E"/>
    <w:rsid w:val="007E06F7"/>
    <w:rsid w:val="007E1DF7"/>
    <w:rsid w:val="007E22F1"/>
    <w:rsid w:val="007E28FF"/>
    <w:rsid w:val="007E3353"/>
    <w:rsid w:val="007E3F9A"/>
    <w:rsid w:val="007E46B9"/>
    <w:rsid w:val="007E6A5B"/>
    <w:rsid w:val="007E78D9"/>
    <w:rsid w:val="007F00E1"/>
    <w:rsid w:val="007F074D"/>
    <w:rsid w:val="007F0C30"/>
    <w:rsid w:val="007F1177"/>
    <w:rsid w:val="007F12E1"/>
    <w:rsid w:val="007F1517"/>
    <w:rsid w:val="007F19C1"/>
    <w:rsid w:val="007F212C"/>
    <w:rsid w:val="007F3773"/>
    <w:rsid w:val="007F3B02"/>
    <w:rsid w:val="007F4465"/>
    <w:rsid w:val="007F471C"/>
    <w:rsid w:val="007F4974"/>
    <w:rsid w:val="007F49F9"/>
    <w:rsid w:val="007F6170"/>
    <w:rsid w:val="007F61D8"/>
    <w:rsid w:val="007F64C3"/>
    <w:rsid w:val="007F68D9"/>
    <w:rsid w:val="007F69DE"/>
    <w:rsid w:val="007F6D31"/>
    <w:rsid w:val="007F6F5B"/>
    <w:rsid w:val="00801511"/>
    <w:rsid w:val="00802CB9"/>
    <w:rsid w:val="00802E53"/>
    <w:rsid w:val="00803141"/>
    <w:rsid w:val="008032F7"/>
    <w:rsid w:val="00803302"/>
    <w:rsid w:val="00804A6E"/>
    <w:rsid w:val="00805B7F"/>
    <w:rsid w:val="00805C48"/>
    <w:rsid w:val="0080626A"/>
    <w:rsid w:val="008062DA"/>
    <w:rsid w:val="00806502"/>
    <w:rsid w:val="00806803"/>
    <w:rsid w:val="00807772"/>
    <w:rsid w:val="008077D7"/>
    <w:rsid w:val="008079F1"/>
    <w:rsid w:val="00807A82"/>
    <w:rsid w:val="008102A0"/>
    <w:rsid w:val="008110DA"/>
    <w:rsid w:val="008117E7"/>
    <w:rsid w:val="0081270D"/>
    <w:rsid w:val="00812852"/>
    <w:rsid w:val="00812B6D"/>
    <w:rsid w:val="00812EA1"/>
    <w:rsid w:val="008138BF"/>
    <w:rsid w:val="00813EE9"/>
    <w:rsid w:val="008143B6"/>
    <w:rsid w:val="008143E4"/>
    <w:rsid w:val="008149EE"/>
    <w:rsid w:val="00814E27"/>
    <w:rsid w:val="008155B6"/>
    <w:rsid w:val="008157CB"/>
    <w:rsid w:val="00815B1F"/>
    <w:rsid w:val="00815CE3"/>
    <w:rsid w:val="008163AC"/>
    <w:rsid w:val="00816DD3"/>
    <w:rsid w:val="00816EB5"/>
    <w:rsid w:val="00820D82"/>
    <w:rsid w:val="00820EA2"/>
    <w:rsid w:val="00821853"/>
    <w:rsid w:val="00821DAE"/>
    <w:rsid w:val="008222E4"/>
    <w:rsid w:val="00822A7C"/>
    <w:rsid w:val="008236CD"/>
    <w:rsid w:val="008239D4"/>
    <w:rsid w:val="00823D07"/>
    <w:rsid w:val="00823FBD"/>
    <w:rsid w:val="008240CD"/>
    <w:rsid w:val="0082458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41B"/>
    <w:rsid w:val="00831991"/>
    <w:rsid w:val="00831B32"/>
    <w:rsid w:val="00831EF2"/>
    <w:rsid w:val="00831F41"/>
    <w:rsid w:val="008325B0"/>
    <w:rsid w:val="00832BCA"/>
    <w:rsid w:val="00833242"/>
    <w:rsid w:val="008339E1"/>
    <w:rsid w:val="00833A66"/>
    <w:rsid w:val="008340E6"/>
    <w:rsid w:val="0083489E"/>
    <w:rsid w:val="00834C60"/>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1CE"/>
    <w:rsid w:val="008443BD"/>
    <w:rsid w:val="00844F87"/>
    <w:rsid w:val="008457CC"/>
    <w:rsid w:val="00845A7E"/>
    <w:rsid w:val="00845D3A"/>
    <w:rsid w:val="00846195"/>
    <w:rsid w:val="00846D6D"/>
    <w:rsid w:val="00846D88"/>
    <w:rsid w:val="00846E91"/>
    <w:rsid w:val="00850EAC"/>
    <w:rsid w:val="0085120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728"/>
    <w:rsid w:val="00862D23"/>
    <w:rsid w:val="008633FD"/>
    <w:rsid w:val="00863540"/>
    <w:rsid w:val="00863845"/>
    <w:rsid w:val="00863A36"/>
    <w:rsid w:val="00863EA2"/>
    <w:rsid w:val="00865512"/>
    <w:rsid w:val="00865DA1"/>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20A"/>
    <w:rsid w:val="00875336"/>
    <w:rsid w:val="0087579F"/>
    <w:rsid w:val="0087613F"/>
    <w:rsid w:val="0087619F"/>
    <w:rsid w:val="008764D0"/>
    <w:rsid w:val="0087780E"/>
    <w:rsid w:val="00877B90"/>
    <w:rsid w:val="00877C71"/>
    <w:rsid w:val="00881953"/>
    <w:rsid w:val="008823D7"/>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825"/>
    <w:rsid w:val="00893439"/>
    <w:rsid w:val="00894402"/>
    <w:rsid w:val="0089462D"/>
    <w:rsid w:val="008946FF"/>
    <w:rsid w:val="00894CB2"/>
    <w:rsid w:val="008957E1"/>
    <w:rsid w:val="00895962"/>
    <w:rsid w:val="008963C9"/>
    <w:rsid w:val="008974D3"/>
    <w:rsid w:val="00897632"/>
    <w:rsid w:val="00897BDF"/>
    <w:rsid w:val="008A0544"/>
    <w:rsid w:val="008A093A"/>
    <w:rsid w:val="008A156C"/>
    <w:rsid w:val="008A1C0C"/>
    <w:rsid w:val="008A24E9"/>
    <w:rsid w:val="008A27DC"/>
    <w:rsid w:val="008A31EF"/>
    <w:rsid w:val="008A3517"/>
    <w:rsid w:val="008A3848"/>
    <w:rsid w:val="008A38D0"/>
    <w:rsid w:val="008A3C0B"/>
    <w:rsid w:val="008A3C92"/>
    <w:rsid w:val="008A46C0"/>
    <w:rsid w:val="008A4E9F"/>
    <w:rsid w:val="008A50A5"/>
    <w:rsid w:val="008A53FC"/>
    <w:rsid w:val="008A6391"/>
    <w:rsid w:val="008A665B"/>
    <w:rsid w:val="008A7603"/>
    <w:rsid w:val="008A78B9"/>
    <w:rsid w:val="008A7DBE"/>
    <w:rsid w:val="008B069C"/>
    <w:rsid w:val="008B099C"/>
    <w:rsid w:val="008B0EE6"/>
    <w:rsid w:val="008B1F5B"/>
    <w:rsid w:val="008B342A"/>
    <w:rsid w:val="008B3864"/>
    <w:rsid w:val="008B3A21"/>
    <w:rsid w:val="008B468B"/>
    <w:rsid w:val="008B52A8"/>
    <w:rsid w:val="008B54D8"/>
    <w:rsid w:val="008B579C"/>
    <w:rsid w:val="008B5F2B"/>
    <w:rsid w:val="008B5F46"/>
    <w:rsid w:val="008B635D"/>
    <w:rsid w:val="008B64F7"/>
    <w:rsid w:val="008B6AF8"/>
    <w:rsid w:val="008B7ADA"/>
    <w:rsid w:val="008B7C2E"/>
    <w:rsid w:val="008B7E6D"/>
    <w:rsid w:val="008C0848"/>
    <w:rsid w:val="008C084D"/>
    <w:rsid w:val="008C10A5"/>
    <w:rsid w:val="008C2225"/>
    <w:rsid w:val="008C23CE"/>
    <w:rsid w:val="008C273A"/>
    <w:rsid w:val="008C30AB"/>
    <w:rsid w:val="008C3F87"/>
    <w:rsid w:val="008C56E6"/>
    <w:rsid w:val="008C5B5C"/>
    <w:rsid w:val="008C5E15"/>
    <w:rsid w:val="008C5FF6"/>
    <w:rsid w:val="008C6399"/>
    <w:rsid w:val="008C6918"/>
    <w:rsid w:val="008C7E6C"/>
    <w:rsid w:val="008D0556"/>
    <w:rsid w:val="008D0E58"/>
    <w:rsid w:val="008D105D"/>
    <w:rsid w:val="008D15DC"/>
    <w:rsid w:val="008D2BCE"/>
    <w:rsid w:val="008D3451"/>
    <w:rsid w:val="008D3905"/>
    <w:rsid w:val="008D4416"/>
    <w:rsid w:val="008D45A8"/>
    <w:rsid w:val="008D5371"/>
    <w:rsid w:val="008D5F40"/>
    <w:rsid w:val="008D698E"/>
    <w:rsid w:val="008D6C2B"/>
    <w:rsid w:val="008D70AA"/>
    <w:rsid w:val="008D7176"/>
    <w:rsid w:val="008D7F85"/>
    <w:rsid w:val="008E0015"/>
    <w:rsid w:val="008E0A8B"/>
    <w:rsid w:val="008E0EF1"/>
    <w:rsid w:val="008E1607"/>
    <w:rsid w:val="008E28DD"/>
    <w:rsid w:val="008E2D4A"/>
    <w:rsid w:val="008E386E"/>
    <w:rsid w:val="008E3F61"/>
    <w:rsid w:val="008E4272"/>
    <w:rsid w:val="008E46C8"/>
    <w:rsid w:val="008E4C04"/>
    <w:rsid w:val="008E4DF2"/>
    <w:rsid w:val="008E4E4E"/>
    <w:rsid w:val="008E5133"/>
    <w:rsid w:val="008E5192"/>
    <w:rsid w:val="008E5296"/>
    <w:rsid w:val="008E61DF"/>
    <w:rsid w:val="008E63A8"/>
    <w:rsid w:val="008E6438"/>
    <w:rsid w:val="008E78BA"/>
    <w:rsid w:val="008F0A33"/>
    <w:rsid w:val="008F197B"/>
    <w:rsid w:val="008F1A27"/>
    <w:rsid w:val="008F2020"/>
    <w:rsid w:val="008F2096"/>
    <w:rsid w:val="008F215A"/>
    <w:rsid w:val="008F229A"/>
    <w:rsid w:val="008F3701"/>
    <w:rsid w:val="008F407B"/>
    <w:rsid w:val="008F4E6A"/>
    <w:rsid w:val="008F562B"/>
    <w:rsid w:val="008F58E8"/>
    <w:rsid w:val="008F7030"/>
    <w:rsid w:val="008F74E2"/>
    <w:rsid w:val="008F77AE"/>
    <w:rsid w:val="008F7C80"/>
    <w:rsid w:val="009018E5"/>
    <w:rsid w:val="00902927"/>
    <w:rsid w:val="00902D50"/>
    <w:rsid w:val="00903940"/>
    <w:rsid w:val="00903A60"/>
    <w:rsid w:val="00904190"/>
    <w:rsid w:val="009049F1"/>
    <w:rsid w:val="0090522A"/>
    <w:rsid w:val="0090527F"/>
    <w:rsid w:val="009052F3"/>
    <w:rsid w:val="00906105"/>
    <w:rsid w:val="00906705"/>
    <w:rsid w:val="00906A6B"/>
    <w:rsid w:val="009100F5"/>
    <w:rsid w:val="00910A50"/>
    <w:rsid w:val="00911A69"/>
    <w:rsid w:val="0091248D"/>
    <w:rsid w:val="009126B0"/>
    <w:rsid w:val="00912B35"/>
    <w:rsid w:val="00913094"/>
    <w:rsid w:val="00914421"/>
    <w:rsid w:val="009145CD"/>
    <w:rsid w:val="0091476C"/>
    <w:rsid w:val="00914AE9"/>
    <w:rsid w:val="00915043"/>
    <w:rsid w:val="009158D1"/>
    <w:rsid w:val="009160C0"/>
    <w:rsid w:val="00916340"/>
    <w:rsid w:val="00917385"/>
    <w:rsid w:val="00920CAB"/>
    <w:rsid w:val="009212D0"/>
    <w:rsid w:val="009212EC"/>
    <w:rsid w:val="00921977"/>
    <w:rsid w:val="00922D19"/>
    <w:rsid w:val="00923700"/>
    <w:rsid w:val="0092370B"/>
    <w:rsid w:val="0092398C"/>
    <w:rsid w:val="00923BC1"/>
    <w:rsid w:val="00924515"/>
    <w:rsid w:val="00924B7E"/>
    <w:rsid w:val="0092529D"/>
    <w:rsid w:val="009265AF"/>
    <w:rsid w:val="009276B3"/>
    <w:rsid w:val="00927894"/>
    <w:rsid w:val="00930120"/>
    <w:rsid w:val="009303F1"/>
    <w:rsid w:val="00931364"/>
    <w:rsid w:val="0093138B"/>
    <w:rsid w:val="00931B7C"/>
    <w:rsid w:val="009320D5"/>
    <w:rsid w:val="009321ED"/>
    <w:rsid w:val="00933182"/>
    <w:rsid w:val="00933AFF"/>
    <w:rsid w:val="00934E5A"/>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350"/>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7290"/>
    <w:rsid w:val="00957830"/>
    <w:rsid w:val="00957B81"/>
    <w:rsid w:val="00957E3F"/>
    <w:rsid w:val="00957E66"/>
    <w:rsid w:val="00960102"/>
    <w:rsid w:val="00960163"/>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4C62"/>
    <w:rsid w:val="0096556C"/>
    <w:rsid w:val="00965D0E"/>
    <w:rsid w:val="00967098"/>
    <w:rsid w:val="00967DF2"/>
    <w:rsid w:val="00970E56"/>
    <w:rsid w:val="009719DF"/>
    <w:rsid w:val="00972831"/>
    <w:rsid w:val="00974949"/>
    <w:rsid w:val="009762E8"/>
    <w:rsid w:val="009778E5"/>
    <w:rsid w:val="00977C6D"/>
    <w:rsid w:val="00980FCC"/>
    <w:rsid w:val="00982099"/>
    <w:rsid w:val="009830EE"/>
    <w:rsid w:val="009832D3"/>
    <w:rsid w:val="00984E48"/>
    <w:rsid w:val="00985C12"/>
    <w:rsid w:val="00985C65"/>
    <w:rsid w:val="009861C5"/>
    <w:rsid w:val="0098702E"/>
    <w:rsid w:val="00987534"/>
    <w:rsid w:val="00987663"/>
    <w:rsid w:val="00987D87"/>
    <w:rsid w:val="0099184E"/>
    <w:rsid w:val="00992CAD"/>
    <w:rsid w:val="00993551"/>
    <w:rsid w:val="00993FA6"/>
    <w:rsid w:val="00994002"/>
    <w:rsid w:val="00994CDC"/>
    <w:rsid w:val="00995147"/>
    <w:rsid w:val="00995A15"/>
    <w:rsid w:val="0099661F"/>
    <w:rsid w:val="00996620"/>
    <w:rsid w:val="00996D48"/>
    <w:rsid w:val="00996F48"/>
    <w:rsid w:val="00997409"/>
    <w:rsid w:val="0099786C"/>
    <w:rsid w:val="00997DCB"/>
    <w:rsid w:val="00997EFC"/>
    <w:rsid w:val="009A03E4"/>
    <w:rsid w:val="009A0A89"/>
    <w:rsid w:val="009A0D06"/>
    <w:rsid w:val="009A0F1D"/>
    <w:rsid w:val="009A1759"/>
    <w:rsid w:val="009A1A68"/>
    <w:rsid w:val="009A1B30"/>
    <w:rsid w:val="009A2D55"/>
    <w:rsid w:val="009A2FAC"/>
    <w:rsid w:val="009A3161"/>
    <w:rsid w:val="009A3445"/>
    <w:rsid w:val="009A3674"/>
    <w:rsid w:val="009A3A59"/>
    <w:rsid w:val="009A4EB5"/>
    <w:rsid w:val="009A5636"/>
    <w:rsid w:val="009A59DC"/>
    <w:rsid w:val="009A5C5B"/>
    <w:rsid w:val="009A7288"/>
    <w:rsid w:val="009A7963"/>
    <w:rsid w:val="009B025D"/>
    <w:rsid w:val="009B03FF"/>
    <w:rsid w:val="009B04A5"/>
    <w:rsid w:val="009B09D6"/>
    <w:rsid w:val="009B0F6A"/>
    <w:rsid w:val="009B1657"/>
    <w:rsid w:val="009B1BE7"/>
    <w:rsid w:val="009B1C88"/>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0DE7"/>
    <w:rsid w:val="009C114A"/>
    <w:rsid w:val="009C1851"/>
    <w:rsid w:val="009C211E"/>
    <w:rsid w:val="009C290F"/>
    <w:rsid w:val="009C3533"/>
    <w:rsid w:val="009C378B"/>
    <w:rsid w:val="009C4082"/>
    <w:rsid w:val="009C513B"/>
    <w:rsid w:val="009C5FA7"/>
    <w:rsid w:val="009C66C4"/>
    <w:rsid w:val="009C6E77"/>
    <w:rsid w:val="009C71E1"/>
    <w:rsid w:val="009D005C"/>
    <w:rsid w:val="009D0685"/>
    <w:rsid w:val="009D0D81"/>
    <w:rsid w:val="009D1598"/>
    <w:rsid w:val="009D2F25"/>
    <w:rsid w:val="009D364B"/>
    <w:rsid w:val="009D3D73"/>
    <w:rsid w:val="009D434A"/>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651"/>
    <w:rsid w:val="009F2CFC"/>
    <w:rsid w:val="009F3252"/>
    <w:rsid w:val="009F33B7"/>
    <w:rsid w:val="009F3B10"/>
    <w:rsid w:val="009F4713"/>
    <w:rsid w:val="009F4EAC"/>
    <w:rsid w:val="009F5CA9"/>
    <w:rsid w:val="009F5F46"/>
    <w:rsid w:val="009F6164"/>
    <w:rsid w:val="009F673B"/>
    <w:rsid w:val="009F6FFC"/>
    <w:rsid w:val="009F7866"/>
    <w:rsid w:val="009F7FEF"/>
    <w:rsid w:val="00A01109"/>
    <w:rsid w:val="00A01584"/>
    <w:rsid w:val="00A0190B"/>
    <w:rsid w:val="00A01EDD"/>
    <w:rsid w:val="00A02F95"/>
    <w:rsid w:val="00A03CD2"/>
    <w:rsid w:val="00A03FEA"/>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1FA4"/>
    <w:rsid w:val="00A22689"/>
    <w:rsid w:val="00A227BF"/>
    <w:rsid w:val="00A2362E"/>
    <w:rsid w:val="00A243A4"/>
    <w:rsid w:val="00A25E14"/>
    <w:rsid w:val="00A260F4"/>
    <w:rsid w:val="00A266B6"/>
    <w:rsid w:val="00A27250"/>
    <w:rsid w:val="00A275FC"/>
    <w:rsid w:val="00A27712"/>
    <w:rsid w:val="00A27764"/>
    <w:rsid w:val="00A27AA3"/>
    <w:rsid w:val="00A30842"/>
    <w:rsid w:val="00A30ACE"/>
    <w:rsid w:val="00A313FD"/>
    <w:rsid w:val="00A329B4"/>
    <w:rsid w:val="00A3376D"/>
    <w:rsid w:val="00A33C39"/>
    <w:rsid w:val="00A3448A"/>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874"/>
    <w:rsid w:val="00A42EFB"/>
    <w:rsid w:val="00A43862"/>
    <w:rsid w:val="00A43B77"/>
    <w:rsid w:val="00A4462F"/>
    <w:rsid w:val="00A456A1"/>
    <w:rsid w:val="00A45AB2"/>
    <w:rsid w:val="00A45DBB"/>
    <w:rsid w:val="00A47CF4"/>
    <w:rsid w:val="00A50D15"/>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5E06"/>
    <w:rsid w:val="00A661D4"/>
    <w:rsid w:val="00A669CE"/>
    <w:rsid w:val="00A670C0"/>
    <w:rsid w:val="00A70CDD"/>
    <w:rsid w:val="00A71438"/>
    <w:rsid w:val="00A71D07"/>
    <w:rsid w:val="00A73388"/>
    <w:rsid w:val="00A74CEA"/>
    <w:rsid w:val="00A74FC6"/>
    <w:rsid w:val="00A762A9"/>
    <w:rsid w:val="00A76BFB"/>
    <w:rsid w:val="00A76E5F"/>
    <w:rsid w:val="00A771F7"/>
    <w:rsid w:val="00A779C6"/>
    <w:rsid w:val="00A77DB9"/>
    <w:rsid w:val="00A80EC9"/>
    <w:rsid w:val="00A812BF"/>
    <w:rsid w:val="00A818FD"/>
    <w:rsid w:val="00A8276E"/>
    <w:rsid w:val="00A82A80"/>
    <w:rsid w:val="00A82AAD"/>
    <w:rsid w:val="00A82D89"/>
    <w:rsid w:val="00A82FD6"/>
    <w:rsid w:val="00A8301C"/>
    <w:rsid w:val="00A8350F"/>
    <w:rsid w:val="00A84435"/>
    <w:rsid w:val="00A84FCB"/>
    <w:rsid w:val="00A85318"/>
    <w:rsid w:val="00A85A06"/>
    <w:rsid w:val="00A85BD7"/>
    <w:rsid w:val="00A86F6E"/>
    <w:rsid w:val="00A87108"/>
    <w:rsid w:val="00A87C41"/>
    <w:rsid w:val="00A90832"/>
    <w:rsid w:val="00A90B5F"/>
    <w:rsid w:val="00A90DC9"/>
    <w:rsid w:val="00A90E85"/>
    <w:rsid w:val="00A90FA9"/>
    <w:rsid w:val="00A912D1"/>
    <w:rsid w:val="00A91492"/>
    <w:rsid w:val="00A915A0"/>
    <w:rsid w:val="00A91D1C"/>
    <w:rsid w:val="00A92181"/>
    <w:rsid w:val="00A92B2A"/>
    <w:rsid w:val="00A92DE6"/>
    <w:rsid w:val="00A93445"/>
    <w:rsid w:val="00A94285"/>
    <w:rsid w:val="00A948DA"/>
    <w:rsid w:val="00A95D59"/>
    <w:rsid w:val="00A96186"/>
    <w:rsid w:val="00A96245"/>
    <w:rsid w:val="00A9626D"/>
    <w:rsid w:val="00A9672F"/>
    <w:rsid w:val="00A9682F"/>
    <w:rsid w:val="00A96C16"/>
    <w:rsid w:val="00A96D22"/>
    <w:rsid w:val="00A96DDE"/>
    <w:rsid w:val="00A973DC"/>
    <w:rsid w:val="00A97592"/>
    <w:rsid w:val="00A979C0"/>
    <w:rsid w:val="00AA1829"/>
    <w:rsid w:val="00AA23F2"/>
    <w:rsid w:val="00AA25D6"/>
    <w:rsid w:val="00AA3A98"/>
    <w:rsid w:val="00AA3C9E"/>
    <w:rsid w:val="00AA3F9A"/>
    <w:rsid w:val="00AA40EB"/>
    <w:rsid w:val="00AA4260"/>
    <w:rsid w:val="00AA4891"/>
    <w:rsid w:val="00AA510F"/>
    <w:rsid w:val="00AA5AE9"/>
    <w:rsid w:val="00AA64E6"/>
    <w:rsid w:val="00AA657A"/>
    <w:rsid w:val="00AA6FC4"/>
    <w:rsid w:val="00AA7DE9"/>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2A80"/>
    <w:rsid w:val="00AE3320"/>
    <w:rsid w:val="00AE36AD"/>
    <w:rsid w:val="00AE3869"/>
    <w:rsid w:val="00AE3892"/>
    <w:rsid w:val="00AE3D09"/>
    <w:rsid w:val="00AE4595"/>
    <w:rsid w:val="00AE57BA"/>
    <w:rsid w:val="00AE5BB6"/>
    <w:rsid w:val="00AE5D52"/>
    <w:rsid w:val="00AE65B1"/>
    <w:rsid w:val="00AF0D10"/>
    <w:rsid w:val="00AF103F"/>
    <w:rsid w:val="00AF112F"/>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05FD8"/>
    <w:rsid w:val="00B063C6"/>
    <w:rsid w:val="00B1016D"/>
    <w:rsid w:val="00B11D8D"/>
    <w:rsid w:val="00B11F5E"/>
    <w:rsid w:val="00B121FE"/>
    <w:rsid w:val="00B12B8D"/>
    <w:rsid w:val="00B13FBD"/>
    <w:rsid w:val="00B145B6"/>
    <w:rsid w:val="00B14B09"/>
    <w:rsid w:val="00B14E65"/>
    <w:rsid w:val="00B153D0"/>
    <w:rsid w:val="00B15450"/>
    <w:rsid w:val="00B15DE2"/>
    <w:rsid w:val="00B15E3C"/>
    <w:rsid w:val="00B17B43"/>
    <w:rsid w:val="00B20A61"/>
    <w:rsid w:val="00B21230"/>
    <w:rsid w:val="00B225AA"/>
    <w:rsid w:val="00B22E91"/>
    <w:rsid w:val="00B22EBA"/>
    <w:rsid w:val="00B240B1"/>
    <w:rsid w:val="00B2492B"/>
    <w:rsid w:val="00B25280"/>
    <w:rsid w:val="00B25EC7"/>
    <w:rsid w:val="00B26EB9"/>
    <w:rsid w:val="00B277C2"/>
    <w:rsid w:val="00B27E50"/>
    <w:rsid w:val="00B300B9"/>
    <w:rsid w:val="00B30141"/>
    <w:rsid w:val="00B30BD9"/>
    <w:rsid w:val="00B314E5"/>
    <w:rsid w:val="00B31DE3"/>
    <w:rsid w:val="00B3203E"/>
    <w:rsid w:val="00B32481"/>
    <w:rsid w:val="00B32AE4"/>
    <w:rsid w:val="00B3335D"/>
    <w:rsid w:val="00B33524"/>
    <w:rsid w:val="00B33C9E"/>
    <w:rsid w:val="00B34083"/>
    <w:rsid w:val="00B35AB3"/>
    <w:rsid w:val="00B360A2"/>
    <w:rsid w:val="00B36457"/>
    <w:rsid w:val="00B366AE"/>
    <w:rsid w:val="00B36894"/>
    <w:rsid w:val="00B36AE6"/>
    <w:rsid w:val="00B3713C"/>
    <w:rsid w:val="00B3747D"/>
    <w:rsid w:val="00B3772B"/>
    <w:rsid w:val="00B4053B"/>
    <w:rsid w:val="00B413D1"/>
    <w:rsid w:val="00B42566"/>
    <w:rsid w:val="00B425B4"/>
    <w:rsid w:val="00B4277E"/>
    <w:rsid w:val="00B43044"/>
    <w:rsid w:val="00B43568"/>
    <w:rsid w:val="00B448DC"/>
    <w:rsid w:val="00B4546E"/>
    <w:rsid w:val="00B455A2"/>
    <w:rsid w:val="00B465A4"/>
    <w:rsid w:val="00B4663B"/>
    <w:rsid w:val="00B46A2A"/>
    <w:rsid w:val="00B47976"/>
    <w:rsid w:val="00B50063"/>
    <w:rsid w:val="00B50A54"/>
    <w:rsid w:val="00B51211"/>
    <w:rsid w:val="00B51400"/>
    <w:rsid w:val="00B52079"/>
    <w:rsid w:val="00B520E5"/>
    <w:rsid w:val="00B5265B"/>
    <w:rsid w:val="00B53188"/>
    <w:rsid w:val="00B54F5B"/>
    <w:rsid w:val="00B555DF"/>
    <w:rsid w:val="00B557B6"/>
    <w:rsid w:val="00B55E3B"/>
    <w:rsid w:val="00B56665"/>
    <w:rsid w:val="00B5693D"/>
    <w:rsid w:val="00B575C0"/>
    <w:rsid w:val="00B5777A"/>
    <w:rsid w:val="00B57C58"/>
    <w:rsid w:val="00B60101"/>
    <w:rsid w:val="00B60846"/>
    <w:rsid w:val="00B60A3D"/>
    <w:rsid w:val="00B60F46"/>
    <w:rsid w:val="00B612CF"/>
    <w:rsid w:val="00B61339"/>
    <w:rsid w:val="00B62248"/>
    <w:rsid w:val="00B62DAB"/>
    <w:rsid w:val="00B631D0"/>
    <w:rsid w:val="00B64096"/>
    <w:rsid w:val="00B64B47"/>
    <w:rsid w:val="00B65338"/>
    <w:rsid w:val="00B65B23"/>
    <w:rsid w:val="00B6765E"/>
    <w:rsid w:val="00B67DB4"/>
    <w:rsid w:val="00B67F8E"/>
    <w:rsid w:val="00B70DCA"/>
    <w:rsid w:val="00B70F0A"/>
    <w:rsid w:val="00B70F23"/>
    <w:rsid w:val="00B7179E"/>
    <w:rsid w:val="00B717DB"/>
    <w:rsid w:val="00B71902"/>
    <w:rsid w:val="00B72163"/>
    <w:rsid w:val="00B72E34"/>
    <w:rsid w:val="00B73662"/>
    <w:rsid w:val="00B736C8"/>
    <w:rsid w:val="00B73B38"/>
    <w:rsid w:val="00B74A57"/>
    <w:rsid w:val="00B75C59"/>
    <w:rsid w:val="00B775F0"/>
    <w:rsid w:val="00B7784C"/>
    <w:rsid w:val="00B77C7D"/>
    <w:rsid w:val="00B80136"/>
    <w:rsid w:val="00B80407"/>
    <w:rsid w:val="00B80DFB"/>
    <w:rsid w:val="00B80E17"/>
    <w:rsid w:val="00B81220"/>
    <w:rsid w:val="00B813C3"/>
    <w:rsid w:val="00B820A3"/>
    <w:rsid w:val="00B82217"/>
    <w:rsid w:val="00B82834"/>
    <w:rsid w:val="00B82A70"/>
    <w:rsid w:val="00B82C44"/>
    <w:rsid w:val="00B82F28"/>
    <w:rsid w:val="00B85811"/>
    <w:rsid w:val="00B85868"/>
    <w:rsid w:val="00B85E90"/>
    <w:rsid w:val="00B866C4"/>
    <w:rsid w:val="00B867CD"/>
    <w:rsid w:val="00B86BC8"/>
    <w:rsid w:val="00B86DC9"/>
    <w:rsid w:val="00B9075C"/>
    <w:rsid w:val="00B91180"/>
    <w:rsid w:val="00B9169A"/>
    <w:rsid w:val="00B91B5C"/>
    <w:rsid w:val="00B91D07"/>
    <w:rsid w:val="00B929BA"/>
    <w:rsid w:val="00B92EC2"/>
    <w:rsid w:val="00B92F84"/>
    <w:rsid w:val="00B93ACE"/>
    <w:rsid w:val="00B93B42"/>
    <w:rsid w:val="00B94202"/>
    <w:rsid w:val="00B942F3"/>
    <w:rsid w:val="00B9476C"/>
    <w:rsid w:val="00B94E6E"/>
    <w:rsid w:val="00B9521E"/>
    <w:rsid w:val="00B96394"/>
    <w:rsid w:val="00B9675F"/>
    <w:rsid w:val="00B96FD7"/>
    <w:rsid w:val="00B971DE"/>
    <w:rsid w:val="00B9731A"/>
    <w:rsid w:val="00B97AB0"/>
    <w:rsid w:val="00B97F09"/>
    <w:rsid w:val="00BA0380"/>
    <w:rsid w:val="00BA03EF"/>
    <w:rsid w:val="00BA0644"/>
    <w:rsid w:val="00BA116F"/>
    <w:rsid w:val="00BA1EF7"/>
    <w:rsid w:val="00BA2B22"/>
    <w:rsid w:val="00BA3787"/>
    <w:rsid w:val="00BA3BD2"/>
    <w:rsid w:val="00BA448A"/>
    <w:rsid w:val="00BA44B0"/>
    <w:rsid w:val="00BA459C"/>
    <w:rsid w:val="00BA51D8"/>
    <w:rsid w:val="00BA52E6"/>
    <w:rsid w:val="00BA56F6"/>
    <w:rsid w:val="00BA6D61"/>
    <w:rsid w:val="00BA75DF"/>
    <w:rsid w:val="00BA76EE"/>
    <w:rsid w:val="00BB0BF4"/>
    <w:rsid w:val="00BB1012"/>
    <w:rsid w:val="00BB198A"/>
    <w:rsid w:val="00BB20B4"/>
    <w:rsid w:val="00BB222F"/>
    <w:rsid w:val="00BB2A6F"/>
    <w:rsid w:val="00BB3213"/>
    <w:rsid w:val="00BB36DF"/>
    <w:rsid w:val="00BB3853"/>
    <w:rsid w:val="00BB4184"/>
    <w:rsid w:val="00BB481D"/>
    <w:rsid w:val="00BB4A19"/>
    <w:rsid w:val="00BB4B7D"/>
    <w:rsid w:val="00BB5A0D"/>
    <w:rsid w:val="00BB6A94"/>
    <w:rsid w:val="00BB6ADC"/>
    <w:rsid w:val="00BB6F9C"/>
    <w:rsid w:val="00BB711A"/>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C35"/>
    <w:rsid w:val="00BD5ED2"/>
    <w:rsid w:val="00BD5FA4"/>
    <w:rsid w:val="00BD6032"/>
    <w:rsid w:val="00BD61AC"/>
    <w:rsid w:val="00BD6279"/>
    <w:rsid w:val="00BD758B"/>
    <w:rsid w:val="00BD78D6"/>
    <w:rsid w:val="00BD7E39"/>
    <w:rsid w:val="00BE0BC3"/>
    <w:rsid w:val="00BE1972"/>
    <w:rsid w:val="00BE24F1"/>
    <w:rsid w:val="00BE2C05"/>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109"/>
    <w:rsid w:val="00C0142F"/>
    <w:rsid w:val="00C01431"/>
    <w:rsid w:val="00C0180F"/>
    <w:rsid w:val="00C02271"/>
    <w:rsid w:val="00C03811"/>
    <w:rsid w:val="00C03855"/>
    <w:rsid w:val="00C03C4B"/>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89D"/>
    <w:rsid w:val="00C12BBD"/>
    <w:rsid w:val="00C12E3A"/>
    <w:rsid w:val="00C1319E"/>
    <w:rsid w:val="00C136DA"/>
    <w:rsid w:val="00C14132"/>
    <w:rsid w:val="00C16B5D"/>
    <w:rsid w:val="00C16C2B"/>
    <w:rsid w:val="00C17771"/>
    <w:rsid w:val="00C209A8"/>
    <w:rsid w:val="00C21995"/>
    <w:rsid w:val="00C220A7"/>
    <w:rsid w:val="00C220ED"/>
    <w:rsid w:val="00C223CF"/>
    <w:rsid w:val="00C22480"/>
    <w:rsid w:val="00C2291A"/>
    <w:rsid w:val="00C22DC1"/>
    <w:rsid w:val="00C22DC6"/>
    <w:rsid w:val="00C244A7"/>
    <w:rsid w:val="00C263C8"/>
    <w:rsid w:val="00C266C3"/>
    <w:rsid w:val="00C277AF"/>
    <w:rsid w:val="00C30412"/>
    <w:rsid w:val="00C30C8B"/>
    <w:rsid w:val="00C3190E"/>
    <w:rsid w:val="00C323C9"/>
    <w:rsid w:val="00C32762"/>
    <w:rsid w:val="00C33E06"/>
    <w:rsid w:val="00C41DDB"/>
    <w:rsid w:val="00C421FE"/>
    <w:rsid w:val="00C428BC"/>
    <w:rsid w:val="00C431C5"/>
    <w:rsid w:val="00C43648"/>
    <w:rsid w:val="00C43AF1"/>
    <w:rsid w:val="00C43B13"/>
    <w:rsid w:val="00C43B95"/>
    <w:rsid w:val="00C441BC"/>
    <w:rsid w:val="00C45900"/>
    <w:rsid w:val="00C45CE1"/>
    <w:rsid w:val="00C45E15"/>
    <w:rsid w:val="00C4612D"/>
    <w:rsid w:val="00C46740"/>
    <w:rsid w:val="00C4677C"/>
    <w:rsid w:val="00C46D96"/>
    <w:rsid w:val="00C47228"/>
    <w:rsid w:val="00C47B3D"/>
    <w:rsid w:val="00C50D2D"/>
    <w:rsid w:val="00C51DE9"/>
    <w:rsid w:val="00C51E61"/>
    <w:rsid w:val="00C51ECE"/>
    <w:rsid w:val="00C521CE"/>
    <w:rsid w:val="00C5286F"/>
    <w:rsid w:val="00C538B8"/>
    <w:rsid w:val="00C54448"/>
    <w:rsid w:val="00C551B8"/>
    <w:rsid w:val="00C562A3"/>
    <w:rsid w:val="00C56B97"/>
    <w:rsid w:val="00C57053"/>
    <w:rsid w:val="00C57190"/>
    <w:rsid w:val="00C60399"/>
    <w:rsid w:val="00C61122"/>
    <w:rsid w:val="00C6138A"/>
    <w:rsid w:val="00C61C83"/>
    <w:rsid w:val="00C61EA3"/>
    <w:rsid w:val="00C62691"/>
    <w:rsid w:val="00C627F3"/>
    <w:rsid w:val="00C62F91"/>
    <w:rsid w:val="00C63D8B"/>
    <w:rsid w:val="00C63E03"/>
    <w:rsid w:val="00C64EEA"/>
    <w:rsid w:val="00C65997"/>
    <w:rsid w:val="00C65A6B"/>
    <w:rsid w:val="00C65C8F"/>
    <w:rsid w:val="00C66AD4"/>
    <w:rsid w:val="00C66B47"/>
    <w:rsid w:val="00C675A0"/>
    <w:rsid w:val="00C67759"/>
    <w:rsid w:val="00C7041B"/>
    <w:rsid w:val="00C70982"/>
    <w:rsid w:val="00C70A39"/>
    <w:rsid w:val="00C71CB4"/>
    <w:rsid w:val="00C72111"/>
    <w:rsid w:val="00C721DD"/>
    <w:rsid w:val="00C72278"/>
    <w:rsid w:val="00C72B24"/>
    <w:rsid w:val="00C73D48"/>
    <w:rsid w:val="00C74EE2"/>
    <w:rsid w:val="00C75046"/>
    <w:rsid w:val="00C75F07"/>
    <w:rsid w:val="00C7669F"/>
    <w:rsid w:val="00C77553"/>
    <w:rsid w:val="00C779D2"/>
    <w:rsid w:val="00C81043"/>
    <w:rsid w:val="00C820ED"/>
    <w:rsid w:val="00C82503"/>
    <w:rsid w:val="00C825D1"/>
    <w:rsid w:val="00C82CBB"/>
    <w:rsid w:val="00C830BE"/>
    <w:rsid w:val="00C840EC"/>
    <w:rsid w:val="00C846D7"/>
    <w:rsid w:val="00C84CD2"/>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74C"/>
    <w:rsid w:val="00C92D18"/>
    <w:rsid w:val="00C937EC"/>
    <w:rsid w:val="00C9383E"/>
    <w:rsid w:val="00C93EA4"/>
    <w:rsid w:val="00C94638"/>
    <w:rsid w:val="00C94C5A"/>
    <w:rsid w:val="00C958F7"/>
    <w:rsid w:val="00C95F69"/>
    <w:rsid w:val="00C96951"/>
    <w:rsid w:val="00C96E11"/>
    <w:rsid w:val="00C96FC4"/>
    <w:rsid w:val="00C973F9"/>
    <w:rsid w:val="00C97DD1"/>
    <w:rsid w:val="00CA117B"/>
    <w:rsid w:val="00CA1A99"/>
    <w:rsid w:val="00CA3062"/>
    <w:rsid w:val="00CA45C4"/>
    <w:rsid w:val="00CA4AD9"/>
    <w:rsid w:val="00CA4FED"/>
    <w:rsid w:val="00CA516E"/>
    <w:rsid w:val="00CA55AB"/>
    <w:rsid w:val="00CA5CD6"/>
    <w:rsid w:val="00CA6727"/>
    <w:rsid w:val="00CA75D9"/>
    <w:rsid w:val="00CA7991"/>
    <w:rsid w:val="00CA7B22"/>
    <w:rsid w:val="00CA7C6A"/>
    <w:rsid w:val="00CB0A53"/>
    <w:rsid w:val="00CB0ACE"/>
    <w:rsid w:val="00CB1FBD"/>
    <w:rsid w:val="00CB2468"/>
    <w:rsid w:val="00CB24E5"/>
    <w:rsid w:val="00CB3688"/>
    <w:rsid w:val="00CB3BDF"/>
    <w:rsid w:val="00CB4720"/>
    <w:rsid w:val="00CB47F4"/>
    <w:rsid w:val="00CB4CB0"/>
    <w:rsid w:val="00CB5126"/>
    <w:rsid w:val="00CB5DA3"/>
    <w:rsid w:val="00CB62C9"/>
    <w:rsid w:val="00CB68D4"/>
    <w:rsid w:val="00CB714B"/>
    <w:rsid w:val="00CB7567"/>
    <w:rsid w:val="00CC0764"/>
    <w:rsid w:val="00CC0A3E"/>
    <w:rsid w:val="00CC2FE9"/>
    <w:rsid w:val="00CC320E"/>
    <w:rsid w:val="00CC3E30"/>
    <w:rsid w:val="00CC4233"/>
    <w:rsid w:val="00CC43CD"/>
    <w:rsid w:val="00CC4848"/>
    <w:rsid w:val="00CC56C3"/>
    <w:rsid w:val="00CC59B4"/>
    <w:rsid w:val="00CC612E"/>
    <w:rsid w:val="00CC6217"/>
    <w:rsid w:val="00CC660D"/>
    <w:rsid w:val="00CC687A"/>
    <w:rsid w:val="00CC68B4"/>
    <w:rsid w:val="00CC714E"/>
    <w:rsid w:val="00CC71F0"/>
    <w:rsid w:val="00CC759D"/>
    <w:rsid w:val="00CC765C"/>
    <w:rsid w:val="00CD079B"/>
    <w:rsid w:val="00CD099D"/>
    <w:rsid w:val="00CD11EB"/>
    <w:rsid w:val="00CD16DC"/>
    <w:rsid w:val="00CD16FE"/>
    <w:rsid w:val="00CD1791"/>
    <w:rsid w:val="00CD2018"/>
    <w:rsid w:val="00CD27D5"/>
    <w:rsid w:val="00CD2C13"/>
    <w:rsid w:val="00CD304D"/>
    <w:rsid w:val="00CD351D"/>
    <w:rsid w:val="00CD3C21"/>
    <w:rsid w:val="00CD4519"/>
    <w:rsid w:val="00CD5FD1"/>
    <w:rsid w:val="00CD610A"/>
    <w:rsid w:val="00CD67DD"/>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609E"/>
    <w:rsid w:val="00CE7809"/>
    <w:rsid w:val="00CF0C59"/>
    <w:rsid w:val="00CF100D"/>
    <w:rsid w:val="00CF112A"/>
    <w:rsid w:val="00CF1A01"/>
    <w:rsid w:val="00CF1ABA"/>
    <w:rsid w:val="00CF292C"/>
    <w:rsid w:val="00CF2D5C"/>
    <w:rsid w:val="00CF2FB2"/>
    <w:rsid w:val="00CF33EF"/>
    <w:rsid w:val="00CF399C"/>
    <w:rsid w:val="00CF412D"/>
    <w:rsid w:val="00CF4770"/>
    <w:rsid w:val="00CF491D"/>
    <w:rsid w:val="00CF4D05"/>
    <w:rsid w:val="00CF56BA"/>
    <w:rsid w:val="00CF57B4"/>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222"/>
    <w:rsid w:val="00D14529"/>
    <w:rsid w:val="00D14F26"/>
    <w:rsid w:val="00D15532"/>
    <w:rsid w:val="00D15535"/>
    <w:rsid w:val="00D159DC"/>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3E4"/>
    <w:rsid w:val="00D25ED3"/>
    <w:rsid w:val="00D26C0F"/>
    <w:rsid w:val="00D26E89"/>
    <w:rsid w:val="00D270AF"/>
    <w:rsid w:val="00D270F9"/>
    <w:rsid w:val="00D27176"/>
    <w:rsid w:val="00D278B0"/>
    <w:rsid w:val="00D31181"/>
    <w:rsid w:val="00D31D6B"/>
    <w:rsid w:val="00D33280"/>
    <w:rsid w:val="00D34532"/>
    <w:rsid w:val="00D3462D"/>
    <w:rsid w:val="00D34BE3"/>
    <w:rsid w:val="00D34C95"/>
    <w:rsid w:val="00D34EC4"/>
    <w:rsid w:val="00D3549E"/>
    <w:rsid w:val="00D3562F"/>
    <w:rsid w:val="00D35884"/>
    <w:rsid w:val="00D35A34"/>
    <w:rsid w:val="00D36382"/>
    <w:rsid w:val="00D3676C"/>
    <w:rsid w:val="00D36C44"/>
    <w:rsid w:val="00D37412"/>
    <w:rsid w:val="00D414BC"/>
    <w:rsid w:val="00D431C6"/>
    <w:rsid w:val="00D446C9"/>
    <w:rsid w:val="00D4550E"/>
    <w:rsid w:val="00D46A7B"/>
    <w:rsid w:val="00D46EDF"/>
    <w:rsid w:val="00D479C0"/>
    <w:rsid w:val="00D47A25"/>
    <w:rsid w:val="00D47A3A"/>
    <w:rsid w:val="00D47AEB"/>
    <w:rsid w:val="00D503F0"/>
    <w:rsid w:val="00D50426"/>
    <w:rsid w:val="00D515EE"/>
    <w:rsid w:val="00D525A1"/>
    <w:rsid w:val="00D52A7A"/>
    <w:rsid w:val="00D52F4E"/>
    <w:rsid w:val="00D5446B"/>
    <w:rsid w:val="00D551A6"/>
    <w:rsid w:val="00D55B01"/>
    <w:rsid w:val="00D566E1"/>
    <w:rsid w:val="00D56B5E"/>
    <w:rsid w:val="00D57275"/>
    <w:rsid w:val="00D5746E"/>
    <w:rsid w:val="00D575C2"/>
    <w:rsid w:val="00D57F24"/>
    <w:rsid w:val="00D60F75"/>
    <w:rsid w:val="00D615A9"/>
    <w:rsid w:val="00D6267A"/>
    <w:rsid w:val="00D6290D"/>
    <w:rsid w:val="00D62A08"/>
    <w:rsid w:val="00D62A40"/>
    <w:rsid w:val="00D62AF1"/>
    <w:rsid w:val="00D62E43"/>
    <w:rsid w:val="00D63D33"/>
    <w:rsid w:val="00D64B48"/>
    <w:rsid w:val="00D6569B"/>
    <w:rsid w:val="00D65828"/>
    <w:rsid w:val="00D65A72"/>
    <w:rsid w:val="00D65FBE"/>
    <w:rsid w:val="00D6697B"/>
    <w:rsid w:val="00D702BA"/>
    <w:rsid w:val="00D70430"/>
    <w:rsid w:val="00D70688"/>
    <w:rsid w:val="00D70815"/>
    <w:rsid w:val="00D70873"/>
    <w:rsid w:val="00D71576"/>
    <w:rsid w:val="00D71F98"/>
    <w:rsid w:val="00D72EF5"/>
    <w:rsid w:val="00D74882"/>
    <w:rsid w:val="00D74C1F"/>
    <w:rsid w:val="00D7744F"/>
    <w:rsid w:val="00D77A58"/>
    <w:rsid w:val="00D80197"/>
    <w:rsid w:val="00D802D9"/>
    <w:rsid w:val="00D8073E"/>
    <w:rsid w:val="00D80D53"/>
    <w:rsid w:val="00D80D82"/>
    <w:rsid w:val="00D81A4E"/>
    <w:rsid w:val="00D8240C"/>
    <w:rsid w:val="00D83950"/>
    <w:rsid w:val="00D83D5E"/>
    <w:rsid w:val="00D83E3D"/>
    <w:rsid w:val="00D84741"/>
    <w:rsid w:val="00D84BD0"/>
    <w:rsid w:val="00D84D8F"/>
    <w:rsid w:val="00D852EC"/>
    <w:rsid w:val="00D86883"/>
    <w:rsid w:val="00D86E50"/>
    <w:rsid w:val="00D878EB"/>
    <w:rsid w:val="00D9053E"/>
    <w:rsid w:val="00D90A5E"/>
    <w:rsid w:val="00D90F91"/>
    <w:rsid w:val="00D91948"/>
    <w:rsid w:val="00D923DB"/>
    <w:rsid w:val="00D9298A"/>
    <w:rsid w:val="00D92DB6"/>
    <w:rsid w:val="00D92FFD"/>
    <w:rsid w:val="00D9390A"/>
    <w:rsid w:val="00D9423E"/>
    <w:rsid w:val="00D945B3"/>
    <w:rsid w:val="00D9484B"/>
    <w:rsid w:val="00D94A7E"/>
    <w:rsid w:val="00D94FD7"/>
    <w:rsid w:val="00D9563F"/>
    <w:rsid w:val="00D95896"/>
    <w:rsid w:val="00D95CBF"/>
    <w:rsid w:val="00D96334"/>
    <w:rsid w:val="00D963DC"/>
    <w:rsid w:val="00D96E7D"/>
    <w:rsid w:val="00D973D3"/>
    <w:rsid w:val="00DA044E"/>
    <w:rsid w:val="00DA1597"/>
    <w:rsid w:val="00DA15F8"/>
    <w:rsid w:val="00DA16CB"/>
    <w:rsid w:val="00DA1AF0"/>
    <w:rsid w:val="00DA1E3C"/>
    <w:rsid w:val="00DA224E"/>
    <w:rsid w:val="00DA23A0"/>
    <w:rsid w:val="00DA267D"/>
    <w:rsid w:val="00DA4667"/>
    <w:rsid w:val="00DA4ADB"/>
    <w:rsid w:val="00DA4C3B"/>
    <w:rsid w:val="00DA5BE7"/>
    <w:rsid w:val="00DA6359"/>
    <w:rsid w:val="00DA6E9B"/>
    <w:rsid w:val="00DA748F"/>
    <w:rsid w:val="00DB02F8"/>
    <w:rsid w:val="00DB055E"/>
    <w:rsid w:val="00DB0601"/>
    <w:rsid w:val="00DB3091"/>
    <w:rsid w:val="00DB4107"/>
    <w:rsid w:val="00DB42EB"/>
    <w:rsid w:val="00DB4A45"/>
    <w:rsid w:val="00DB4CF8"/>
    <w:rsid w:val="00DB59C4"/>
    <w:rsid w:val="00DB5B97"/>
    <w:rsid w:val="00DB75F0"/>
    <w:rsid w:val="00DB795E"/>
    <w:rsid w:val="00DB7B7A"/>
    <w:rsid w:val="00DC0379"/>
    <w:rsid w:val="00DC03B4"/>
    <w:rsid w:val="00DC0D35"/>
    <w:rsid w:val="00DC121F"/>
    <w:rsid w:val="00DC21E1"/>
    <w:rsid w:val="00DC25BC"/>
    <w:rsid w:val="00DC2E56"/>
    <w:rsid w:val="00DC3103"/>
    <w:rsid w:val="00DC35D9"/>
    <w:rsid w:val="00DC3CD8"/>
    <w:rsid w:val="00DC4104"/>
    <w:rsid w:val="00DC489C"/>
    <w:rsid w:val="00DC5505"/>
    <w:rsid w:val="00DC55EB"/>
    <w:rsid w:val="00DC6492"/>
    <w:rsid w:val="00DC72C6"/>
    <w:rsid w:val="00DC749A"/>
    <w:rsid w:val="00DC74A6"/>
    <w:rsid w:val="00DC7D27"/>
    <w:rsid w:val="00DD054C"/>
    <w:rsid w:val="00DD05E6"/>
    <w:rsid w:val="00DD0F52"/>
    <w:rsid w:val="00DD1AC3"/>
    <w:rsid w:val="00DD1E13"/>
    <w:rsid w:val="00DD2235"/>
    <w:rsid w:val="00DD3124"/>
    <w:rsid w:val="00DD3E14"/>
    <w:rsid w:val="00DD538F"/>
    <w:rsid w:val="00DD5442"/>
    <w:rsid w:val="00DD5697"/>
    <w:rsid w:val="00DD588F"/>
    <w:rsid w:val="00DD5E80"/>
    <w:rsid w:val="00DD60AB"/>
    <w:rsid w:val="00DD628A"/>
    <w:rsid w:val="00DD6FDA"/>
    <w:rsid w:val="00DD773B"/>
    <w:rsid w:val="00DD7B9E"/>
    <w:rsid w:val="00DE0333"/>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AF8"/>
    <w:rsid w:val="00DE7F4F"/>
    <w:rsid w:val="00DF0DB4"/>
    <w:rsid w:val="00DF1313"/>
    <w:rsid w:val="00DF2DA4"/>
    <w:rsid w:val="00DF2FE7"/>
    <w:rsid w:val="00DF35CE"/>
    <w:rsid w:val="00DF3939"/>
    <w:rsid w:val="00DF3F2B"/>
    <w:rsid w:val="00DF44DC"/>
    <w:rsid w:val="00DF4D07"/>
    <w:rsid w:val="00DF4EA1"/>
    <w:rsid w:val="00DF523A"/>
    <w:rsid w:val="00DF591B"/>
    <w:rsid w:val="00DF5F27"/>
    <w:rsid w:val="00DF6C5A"/>
    <w:rsid w:val="00DF7C03"/>
    <w:rsid w:val="00E002C6"/>
    <w:rsid w:val="00E00585"/>
    <w:rsid w:val="00E00BD6"/>
    <w:rsid w:val="00E01B4D"/>
    <w:rsid w:val="00E02EEC"/>
    <w:rsid w:val="00E03228"/>
    <w:rsid w:val="00E0404E"/>
    <w:rsid w:val="00E044B7"/>
    <w:rsid w:val="00E0466F"/>
    <w:rsid w:val="00E046A9"/>
    <w:rsid w:val="00E047DA"/>
    <w:rsid w:val="00E048CC"/>
    <w:rsid w:val="00E05289"/>
    <w:rsid w:val="00E056C8"/>
    <w:rsid w:val="00E05A26"/>
    <w:rsid w:val="00E061FF"/>
    <w:rsid w:val="00E065C3"/>
    <w:rsid w:val="00E06A34"/>
    <w:rsid w:val="00E06EC8"/>
    <w:rsid w:val="00E079F0"/>
    <w:rsid w:val="00E10332"/>
    <w:rsid w:val="00E118BA"/>
    <w:rsid w:val="00E11B9F"/>
    <w:rsid w:val="00E1285E"/>
    <w:rsid w:val="00E12BC5"/>
    <w:rsid w:val="00E12C7C"/>
    <w:rsid w:val="00E1359E"/>
    <w:rsid w:val="00E13E26"/>
    <w:rsid w:val="00E155EA"/>
    <w:rsid w:val="00E1566F"/>
    <w:rsid w:val="00E15FF2"/>
    <w:rsid w:val="00E1693D"/>
    <w:rsid w:val="00E17E6A"/>
    <w:rsid w:val="00E2000A"/>
    <w:rsid w:val="00E2016F"/>
    <w:rsid w:val="00E22425"/>
    <w:rsid w:val="00E22D4D"/>
    <w:rsid w:val="00E22DD8"/>
    <w:rsid w:val="00E23086"/>
    <w:rsid w:val="00E23A95"/>
    <w:rsid w:val="00E24568"/>
    <w:rsid w:val="00E2498A"/>
    <w:rsid w:val="00E253E1"/>
    <w:rsid w:val="00E256F1"/>
    <w:rsid w:val="00E25936"/>
    <w:rsid w:val="00E259F0"/>
    <w:rsid w:val="00E25FC3"/>
    <w:rsid w:val="00E26988"/>
    <w:rsid w:val="00E26EF6"/>
    <w:rsid w:val="00E26F0F"/>
    <w:rsid w:val="00E30194"/>
    <w:rsid w:val="00E316A2"/>
    <w:rsid w:val="00E31999"/>
    <w:rsid w:val="00E31EBD"/>
    <w:rsid w:val="00E3249A"/>
    <w:rsid w:val="00E33D04"/>
    <w:rsid w:val="00E3422A"/>
    <w:rsid w:val="00E351CB"/>
    <w:rsid w:val="00E35B55"/>
    <w:rsid w:val="00E36269"/>
    <w:rsid w:val="00E36373"/>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61F"/>
    <w:rsid w:val="00E46BA8"/>
    <w:rsid w:val="00E46D80"/>
    <w:rsid w:val="00E47056"/>
    <w:rsid w:val="00E51347"/>
    <w:rsid w:val="00E5196B"/>
    <w:rsid w:val="00E525AA"/>
    <w:rsid w:val="00E52643"/>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AA4"/>
    <w:rsid w:val="00E70B90"/>
    <w:rsid w:val="00E70CDF"/>
    <w:rsid w:val="00E71CF2"/>
    <w:rsid w:val="00E7278E"/>
    <w:rsid w:val="00E7295E"/>
    <w:rsid w:val="00E72A01"/>
    <w:rsid w:val="00E732BD"/>
    <w:rsid w:val="00E7357F"/>
    <w:rsid w:val="00E74066"/>
    <w:rsid w:val="00E74223"/>
    <w:rsid w:val="00E74C4A"/>
    <w:rsid w:val="00E76C16"/>
    <w:rsid w:val="00E7704B"/>
    <w:rsid w:val="00E7708D"/>
    <w:rsid w:val="00E771C2"/>
    <w:rsid w:val="00E772C4"/>
    <w:rsid w:val="00E77456"/>
    <w:rsid w:val="00E77504"/>
    <w:rsid w:val="00E8051F"/>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6CF7"/>
    <w:rsid w:val="00E972A5"/>
    <w:rsid w:val="00E97587"/>
    <w:rsid w:val="00E9778E"/>
    <w:rsid w:val="00E97EC5"/>
    <w:rsid w:val="00EA08D7"/>
    <w:rsid w:val="00EA0A11"/>
    <w:rsid w:val="00EA0B64"/>
    <w:rsid w:val="00EA11B3"/>
    <w:rsid w:val="00EA1450"/>
    <w:rsid w:val="00EA1DE2"/>
    <w:rsid w:val="00EA1EE0"/>
    <w:rsid w:val="00EA1EE4"/>
    <w:rsid w:val="00EA26B0"/>
    <w:rsid w:val="00EA26E8"/>
    <w:rsid w:val="00EA2868"/>
    <w:rsid w:val="00EA3D2E"/>
    <w:rsid w:val="00EA405A"/>
    <w:rsid w:val="00EA5C68"/>
    <w:rsid w:val="00EA60C8"/>
    <w:rsid w:val="00EA6849"/>
    <w:rsid w:val="00EA7D78"/>
    <w:rsid w:val="00EB12DC"/>
    <w:rsid w:val="00EB1AD6"/>
    <w:rsid w:val="00EB2E2A"/>
    <w:rsid w:val="00EB36A9"/>
    <w:rsid w:val="00EB3956"/>
    <w:rsid w:val="00EB4280"/>
    <w:rsid w:val="00EB459E"/>
    <w:rsid w:val="00EB4634"/>
    <w:rsid w:val="00EB483C"/>
    <w:rsid w:val="00EB4A48"/>
    <w:rsid w:val="00EB4FC8"/>
    <w:rsid w:val="00EB5D91"/>
    <w:rsid w:val="00EB636A"/>
    <w:rsid w:val="00EB7928"/>
    <w:rsid w:val="00EC083B"/>
    <w:rsid w:val="00EC153C"/>
    <w:rsid w:val="00EC19CA"/>
    <w:rsid w:val="00EC1AE6"/>
    <w:rsid w:val="00EC1D4A"/>
    <w:rsid w:val="00EC248B"/>
    <w:rsid w:val="00EC2C3A"/>
    <w:rsid w:val="00EC2DB3"/>
    <w:rsid w:val="00EC44A0"/>
    <w:rsid w:val="00EC4CDB"/>
    <w:rsid w:val="00EC59AA"/>
    <w:rsid w:val="00EC6C32"/>
    <w:rsid w:val="00EC70EB"/>
    <w:rsid w:val="00EC77DD"/>
    <w:rsid w:val="00ED07E5"/>
    <w:rsid w:val="00ED0ABD"/>
    <w:rsid w:val="00ED0E64"/>
    <w:rsid w:val="00ED0F0E"/>
    <w:rsid w:val="00ED1001"/>
    <w:rsid w:val="00ED1B83"/>
    <w:rsid w:val="00ED20C8"/>
    <w:rsid w:val="00ED315B"/>
    <w:rsid w:val="00ED328B"/>
    <w:rsid w:val="00ED3E0A"/>
    <w:rsid w:val="00ED48F5"/>
    <w:rsid w:val="00ED4A36"/>
    <w:rsid w:val="00ED6B6D"/>
    <w:rsid w:val="00ED6F08"/>
    <w:rsid w:val="00ED6F13"/>
    <w:rsid w:val="00ED740F"/>
    <w:rsid w:val="00ED74BE"/>
    <w:rsid w:val="00EE0F6A"/>
    <w:rsid w:val="00EE1541"/>
    <w:rsid w:val="00EE1C29"/>
    <w:rsid w:val="00EE261B"/>
    <w:rsid w:val="00EE26F3"/>
    <w:rsid w:val="00EE3983"/>
    <w:rsid w:val="00EE3D3C"/>
    <w:rsid w:val="00EE4690"/>
    <w:rsid w:val="00EE4C2D"/>
    <w:rsid w:val="00EE611C"/>
    <w:rsid w:val="00EE641E"/>
    <w:rsid w:val="00EE7887"/>
    <w:rsid w:val="00EE7958"/>
    <w:rsid w:val="00EE7A02"/>
    <w:rsid w:val="00EE7EF7"/>
    <w:rsid w:val="00EF0337"/>
    <w:rsid w:val="00EF0434"/>
    <w:rsid w:val="00EF06D3"/>
    <w:rsid w:val="00EF06DF"/>
    <w:rsid w:val="00EF0800"/>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07C66"/>
    <w:rsid w:val="00F111D8"/>
    <w:rsid w:val="00F113C2"/>
    <w:rsid w:val="00F118D6"/>
    <w:rsid w:val="00F11A09"/>
    <w:rsid w:val="00F11EC4"/>
    <w:rsid w:val="00F127C7"/>
    <w:rsid w:val="00F13EB4"/>
    <w:rsid w:val="00F14A7B"/>
    <w:rsid w:val="00F14ABE"/>
    <w:rsid w:val="00F1500C"/>
    <w:rsid w:val="00F15EE9"/>
    <w:rsid w:val="00F16158"/>
    <w:rsid w:val="00F1684C"/>
    <w:rsid w:val="00F16862"/>
    <w:rsid w:val="00F16C37"/>
    <w:rsid w:val="00F16D2A"/>
    <w:rsid w:val="00F17CA8"/>
    <w:rsid w:val="00F17E9D"/>
    <w:rsid w:val="00F202BA"/>
    <w:rsid w:val="00F2043B"/>
    <w:rsid w:val="00F20C9A"/>
    <w:rsid w:val="00F21090"/>
    <w:rsid w:val="00F21BCD"/>
    <w:rsid w:val="00F22267"/>
    <w:rsid w:val="00F23494"/>
    <w:rsid w:val="00F234D1"/>
    <w:rsid w:val="00F23714"/>
    <w:rsid w:val="00F240B8"/>
    <w:rsid w:val="00F24CF8"/>
    <w:rsid w:val="00F24FBC"/>
    <w:rsid w:val="00F25663"/>
    <w:rsid w:val="00F26AA9"/>
    <w:rsid w:val="00F2750F"/>
    <w:rsid w:val="00F27B6B"/>
    <w:rsid w:val="00F3104E"/>
    <w:rsid w:val="00F311CC"/>
    <w:rsid w:val="00F31ECA"/>
    <w:rsid w:val="00F335A8"/>
    <w:rsid w:val="00F33A72"/>
    <w:rsid w:val="00F34055"/>
    <w:rsid w:val="00F358F9"/>
    <w:rsid w:val="00F3759B"/>
    <w:rsid w:val="00F40A40"/>
    <w:rsid w:val="00F40DCD"/>
    <w:rsid w:val="00F41A12"/>
    <w:rsid w:val="00F41A26"/>
    <w:rsid w:val="00F41ADA"/>
    <w:rsid w:val="00F42D78"/>
    <w:rsid w:val="00F42E7E"/>
    <w:rsid w:val="00F4340D"/>
    <w:rsid w:val="00F43B6A"/>
    <w:rsid w:val="00F4428E"/>
    <w:rsid w:val="00F44A7C"/>
    <w:rsid w:val="00F44DB5"/>
    <w:rsid w:val="00F4534A"/>
    <w:rsid w:val="00F453DC"/>
    <w:rsid w:val="00F456F0"/>
    <w:rsid w:val="00F45C18"/>
    <w:rsid w:val="00F45C86"/>
    <w:rsid w:val="00F464F1"/>
    <w:rsid w:val="00F4674B"/>
    <w:rsid w:val="00F46DA9"/>
    <w:rsid w:val="00F47C1B"/>
    <w:rsid w:val="00F47D27"/>
    <w:rsid w:val="00F505CD"/>
    <w:rsid w:val="00F516CA"/>
    <w:rsid w:val="00F51C19"/>
    <w:rsid w:val="00F5271E"/>
    <w:rsid w:val="00F52B9D"/>
    <w:rsid w:val="00F52D3F"/>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0C3"/>
    <w:rsid w:val="00F63A2B"/>
    <w:rsid w:val="00F64438"/>
    <w:rsid w:val="00F64578"/>
    <w:rsid w:val="00F6482E"/>
    <w:rsid w:val="00F64978"/>
    <w:rsid w:val="00F64E48"/>
    <w:rsid w:val="00F6506C"/>
    <w:rsid w:val="00F6610B"/>
    <w:rsid w:val="00F6659B"/>
    <w:rsid w:val="00F66AD9"/>
    <w:rsid w:val="00F66DB1"/>
    <w:rsid w:val="00F67DFC"/>
    <w:rsid w:val="00F67E17"/>
    <w:rsid w:val="00F70227"/>
    <w:rsid w:val="00F70CE5"/>
    <w:rsid w:val="00F710A5"/>
    <w:rsid w:val="00F71751"/>
    <w:rsid w:val="00F7177B"/>
    <w:rsid w:val="00F718C3"/>
    <w:rsid w:val="00F71C7A"/>
    <w:rsid w:val="00F71CA4"/>
    <w:rsid w:val="00F72BE8"/>
    <w:rsid w:val="00F73739"/>
    <w:rsid w:val="00F73BB4"/>
    <w:rsid w:val="00F73E84"/>
    <w:rsid w:val="00F74CA9"/>
    <w:rsid w:val="00F754B1"/>
    <w:rsid w:val="00F767CE"/>
    <w:rsid w:val="00F767EB"/>
    <w:rsid w:val="00F76D51"/>
    <w:rsid w:val="00F76F49"/>
    <w:rsid w:val="00F7737A"/>
    <w:rsid w:val="00F80447"/>
    <w:rsid w:val="00F8180E"/>
    <w:rsid w:val="00F81A91"/>
    <w:rsid w:val="00F82587"/>
    <w:rsid w:val="00F8261E"/>
    <w:rsid w:val="00F827B6"/>
    <w:rsid w:val="00F82BF9"/>
    <w:rsid w:val="00F83D10"/>
    <w:rsid w:val="00F83DFD"/>
    <w:rsid w:val="00F856CF"/>
    <w:rsid w:val="00F86CD8"/>
    <w:rsid w:val="00F873D2"/>
    <w:rsid w:val="00F87567"/>
    <w:rsid w:val="00F8765D"/>
    <w:rsid w:val="00F90524"/>
    <w:rsid w:val="00F91CCC"/>
    <w:rsid w:val="00F91DB5"/>
    <w:rsid w:val="00F92112"/>
    <w:rsid w:val="00F92C92"/>
    <w:rsid w:val="00F93043"/>
    <w:rsid w:val="00F9316B"/>
    <w:rsid w:val="00F9389E"/>
    <w:rsid w:val="00F949CD"/>
    <w:rsid w:val="00F95954"/>
    <w:rsid w:val="00F9599A"/>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416"/>
    <w:rsid w:val="00FC0837"/>
    <w:rsid w:val="00FC0BC2"/>
    <w:rsid w:val="00FC0CFE"/>
    <w:rsid w:val="00FC11F1"/>
    <w:rsid w:val="00FC1202"/>
    <w:rsid w:val="00FC1DB0"/>
    <w:rsid w:val="00FC20D1"/>
    <w:rsid w:val="00FC48CA"/>
    <w:rsid w:val="00FC4D60"/>
    <w:rsid w:val="00FC549D"/>
    <w:rsid w:val="00FC563A"/>
    <w:rsid w:val="00FC5A0B"/>
    <w:rsid w:val="00FC5D95"/>
    <w:rsid w:val="00FC608E"/>
    <w:rsid w:val="00FC65A2"/>
    <w:rsid w:val="00FC76AB"/>
    <w:rsid w:val="00FD0075"/>
    <w:rsid w:val="00FD0D32"/>
    <w:rsid w:val="00FD10D9"/>
    <w:rsid w:val="00FD2221"/>
    <w:rsid w:val="00FD22C1"/>
    <w:rsid w:val="00FD2A9A"/>
    <w:rsid w:val="00FD3345"/>
    <w:rsid w:val="00FD4063"/>
    <w:rsid w:val="00FD40FB"/>
    <w:rsid w:val="00FD46AF"/>
    <w:rsid w:val="00FD47CB"/>
    <w:rsid w:val="00FD4E21"/>
    <w:rsid w:val="00FD4F82"/>
    <w:rsid w:val="00FD51CC"/>
    <w:rsid w:val="00FD6239"/>
    <w:rsid w:val="00FD638A"/>
    <w:rsid w:val="00FD66D0"/>
    <w:rsid w:val="00FD7A6F"/>
    <w:rsid w:val="00FD7C39"/>
    <w:rsid w:val="00FE0991"/>
    <w:rsid w:val="00FE110C"/>
    <w:rsid w:val="00FE2482"/>
    <w:rsid w:val="00FE2555"/>
    <w:rsid w:val="00FE3845"/>
    <w:rsid w:val="00FE38C6"/>
    <w:rsid w:val="00FE4C6D"/>
    <w:rsid w:val="00FE64D8"/>
    <w:rsid w:val="00FE6578"/>
    <w:rsid w:val="00FE7001"/>
    <w:rsid w:val="00FE7E9C"/>
    <w:rsid w:val="00FF0E99"/>
    <w:rsid w:val="00FF0F2E"/>
    <w:rsid w:val="00FF20AF"/>
    <w:rsid w:val="00FF2228"/>
    <w:rsid w:val="00FF2642"/>
    <w:rsid w:val="00FF27BE"/>
    <w:rsid w:val="00FF4508"/>
    <w:rsid w:val="00FF4524"/>
    <w:rsid w:val="00FF4BF3"/>
    <w:rsid w:val="00FF4C36"/>
    <w:rsid w:val="00FF526C"/>
    <w:rsid w:val="00FF5A95"/>
    <w:rsid w:val="00FF5AF0"/>
    <w:rsid w:val="00FF5C61"/>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0E97"/>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aliases w:val="TableGrid,SGS Table Basic 1"/>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列"/>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uiPriority w:val="99"/>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uiPriority w:val="99"/>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uiPriority w:val="39"/>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xl87">
    <w:name w:val="xl87"/>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8">
    <w:name w:val="xl88"/>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9">
    <w:name w:val="xl89"/>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0">
    <w:name w:val="xl90"/>
    <w:basedOn w:val="Normal"/>
    <w:rsid w:val="0036423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1">
    <w:name w:val="xl91"/>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textAlignment w:val="auto"/>
    </w:pPr>
    <w:rPr>
      <w:sz w:val="16"/>
      <w:szCs w:val="16"/>
      <w:lang w:val="en-US" w:eastAsia="en-US"/>
    </w:rPr>
  </w:style>
  <w:style w:type="paragraph" w:customStyle="1" w:styleId="xl92">
    <w:name w:val="xl92"/>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3">
    <w:name w:val="xl93"/>
    <w:basedOn w:val="Normal"/>
    <w:rsid w:val="0036423F"/>
    <w:pPr>
      <w:pBdr>
        <w:top w:val="single" w:sz="4" w:space="0" w:color="auto"/>
        <w:left w:val="single" w:sz="4"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4">
    <w:name w:val="xl94"/>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auto"/>
    </w:pPr>
    <w:rPr>
      <w:sz w:val="16"/>
      <w:szCs w:val="16"/>
      <w:lang w:val="en-US" w:eastAsia="en-US"/>
    </w:rPr>
  </w:style>
  <w:style w:type="paragraph" w:customStyle="1" w:styleId="xl95">
    <w:name w:val="xl95"/>
    <w:basedOn w:val="Normal"/>
    <w:rsid w:val="0036423F"/>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600" w:firstLine="600"/>
      <w:textAlignment w:val="center"/>
    </w:pPr>
    <w:rPr>
      <w:sz w:val="16"/>
      <w:szCs w:val="16"/>
      <w:lang w:val="en-US" w:eastAsia="en-US"/>
    </w:rPr>
  </w:style>
  <w:style w:type="paragraph" w:customStyle="1" w:styleId="xl96">
    <w:name w:val="xl96"/>
    <w:basedOn w:val="Normal"/>
    <w:rsid w:val="0036423F"/>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7">
    <w:name w:val="xl97"/>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8">
    <w:name w:val="xl98"/>
    <w:basedOn w:val="Normal"/>
    <w:rsid w:val="0036423F"/>
    <w:pPr>
      <w:pBdr>
        <w:top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9">
    <w:name w:val="xl99"/>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0">
    <w:name w:val="xl100"/>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1">
    <w:name w:val="xl101"/>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2">
    <w:name w:val="xl102"/>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3">
    <w:name w:val="xl103"/>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4">
    <w:name w:val="xl104"/>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5">
    <w:name w:val="xl105"/>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6">
    <w:name w:val="xl106"/>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7">
    <w:name w:val="xl107"/>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34812380">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83188827">
      <w:bodyDiv w:val="1"/>
      <w:marLeft w:val="0"/>
      <w:marRight w:val="0"/>
      <w:marTop w:val="0"/>
      <w:marBottom w:val="0"/>
      <w:divBdr>
        <w:top w:val="none" w:sz="0" w:space="0" w:color="auto"/>
        <w:left w:val="none" w:sz="0" w:space="0" w:color="auto"/>
        <w:bottom w:val="none" w:sz="0" w:space="0" w:color="auto"/>
        <w:right w:val="none" w:sz="0" w:space="0" w:color="auto"/>
      </w:divBdr>
    </w:div>
    <w:div w:id="91635841">
      <w:bodyDiv w:val="1"/>
      <w:marLeft w:val="0"/>
      <w:marRight w:val="0"/>
      <w:marTop w:val="0"/>
      <w:marBottom w:val="0"/>
      <w:divBdr>
        <w:top w:val="none" w:sz="0" w:space="0" w:color="auto"/>
        <w:left w:val="none" w:sz="0" w:space="0" w:color="auto"/>
        <w:bottom w:val="none" w:sz="0" w:space="0" w:color="auto"/>
        <w:right w:val="none" w:sz="0" w:space="0" w:color="auto"/>
      </w:divBdr>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4132956">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8050681">
      <w:bodyDiv w:val="1"/>
      <w:marLeft w:val="0"/>
      <w:marRight w:val="0"/>
      <w:marTop w:val="0"/>
      <w:marBottom w:val="0"/>
      <w:divBdr>
        <w:top w:val="none" w:sz="0" w:space="0" w:color="auto"/>
        <w:left w:val="none" w:sz="0" w:space="0" w:color="auto"/>
        <w:bottom w:val="none" w:sz="0" w:space="0" w:color="auto"/>
        <w:right w:val="none" w:sz="0" w:space="0" w:color="auto"/>
      </w:divBdr>
    </w:div>
    <w:div w:id="209807412">
      <w:bodyDiv w:val="1"/>
      <w:marLeft w:val="0"/>
      <w:marRight w:val="0"/>
      <w:marTop w:val="0"/>
      <w:marBottom w:val="0"/>
      <w:divBdr>
        <w:top w:val="none" w:sz="0" w:space="0" w:color="auto"/>
        <w:left w:val="none" w:sz="0" w:space="0" w:color="auto"/>
        <w:bottom w:val="none" w:sz="0" w:space="0" w:color="auto"/>
        <w:right w:val="none" w:sz="0" w:space="0" w:color="auto"/>
      </w:divBdr>
    </w:div>
    <w:div w:id="211817735">
      <w:bodyDiv w:val="1"/>
      <w:marLeft w:val="0"/>
      <w:marRight w:val="0"/>
      <w:marTop w:val="0"/>
      <w:marBottom w:val="0"/>
      <w:divBdr>
        <w:top w:val="none" w:sz="0" w:space="0" w:color="auto"/>
        <w:left w:val="none" w:sz="0" w:space="0" w:color="auto"/>
        <w:bottom w:val="none" w:sz="0" w:space="0" w:color="auto"/>
        <w:right w:val="none" w:sz="0" w:space="0" w:color="auto"/>
      </w:divBdr>
    </w:div>
    <w:div w:id="218712230">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89824482">
      <w:bodyDiv w:val="1"/>
      <w:marLeft w:val="0"/>
      <w:marRight w:val="0"/>
      <w:marTop w:val="0"/>
      <w:marBottom w:val="0"/>
      <w:divBdr>
        <w:top w:val="none" w:sz="0" w:space="0" w:color="auto"/>
        <w:left w:val="none" w:sz="0" w:space="0" w:color="auto"/>
        <w:bottom w:val="none" w:sz="0" w:space="0" w:color="auto"/>
        <w:right w:val="none" w:sz="0" w:space="0" w:color="auto"/>
      </w:divBdr>
    </w:div>
    <w:div w:id="291448268">
      <w:bodyDiv w:val="1"/>
      <w:marLeft w:val="0"/>
      <w:marRight w:val="0"/>
      <w:marTop w:val="0"/>
      <w:marBottom w:val="0"/>
      <w:divBdr>
        <w:top w:val="none" w:sz="0" w:space="0" w:color="auto"/>
        <w:left w:val="none" w:sz="0" w:space="0" w:color="auto"/>
        <w:bottom w:val="none" w:sz="0" w:space="0" w:color="auto"/>
        <w:right w:val="none" w:sz="0" w:space="0" w:color="auto"/>
      </w:divBdr>
    </w:div>
    <w:div w:id="303659085">
      <w:bodyDiv w:val="1"/>
      <w:marLeft w:val="0"/>
      <w:marRight w:val="0"/>
      <w:marTop w:val="0"/>
      <w:marBottom w:val="0"/>
      <w:divBdr>
        <w:top w:val="none" w:sz="0" w:space="0" w:color="auto"/>
        <w:left w:val="none" w:sz="0" w:space="0" w:color="auto"/>
        <w:bottom w:val="none" w:sz="0" w:space="0" w:color="auto"/>
        <w:right w:val="none" w:sz="0" w:space="0" w:color="auto"/>
      </w:divBdr>
    </w:div>
    <w:div w:id="361059555">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1536146">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3019451">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28955898">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1695574">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574363915">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5130452">
      <w:bodyDiv w:val="1"/>
      <w:marLeft w:val="0"/>
      <w:marRight w:val="0"/>
      <w:marTop w:val="0"/>
      <w:marBottom w:val="0"/>
      <w:divBdr>
        <w:top w:val="none" w:sz="0" w:space="0" w:color="auto"/>
        <w:left w:val="none" w:sz="0" w:space="0" w:color="auto"/>
        <w:bottom w:val="none" w:sz="0" w:space="0" w:color="auto"/>
        <w:right w:val="none" w:sz="0" w:space="0" w:color="auto"/>
      </w:divBdr>
    </w:div>
    <w:div w:id="669721409">
      <w:bodyDiv w:val="1"/>
      <w:marLeft w:val="0"/>
      <w:marRight w:val="0"/>
      <w:marTop w:val="0"/>
      <w:marBottom w:val="0"/>
      <w:divBdr>
        <w:top w:val="none" w:sz="0" w:space="0" w:color="auto"/>
        <w:left w:val="none" w:sz="0" w:space="0" w:color="auto"/>
        <w:bottom w:val="none" w:sz="0" w:space="0" w:color="auto"/>
        <w:right w:val="none" w:sz="0" w:space="0" w:color="auto"/>
      </w:divBdr>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73923188">
      <w:bodyDiv w:val="1"/>
      <w:marLeft w:val="0"/>
      <w:marRight w:val="0"/>
      <w:marTop w:val="0"/>
      <w:marBottom w:val="0"/>
      <w:divBdr>
        <w:top w:val="none" w:sz="0" w:space="0" w:color="auto"/>
        <w:left w:val="none" w:sz="0" w:space="0" w:color="auto"/>
        <w:bottom w:val="none" w:sz="0" w:space="0" w:color="auto"/>
        <w:right w:val="none" w:sz="0" w:space="0" w:color="auto"/>
      </w:divBdr>
    </w:div>
    <w:div w:id="687878299">
      <w:bodyDiv w:val="1"/>
      <w:marLeft w:val="0"/>
      <w:marRight w:val="0"/>
      <w:marTop w:val="0"/>
      <w:marBottom w:val="0"/>
      <w:divBdr>
        <w:top w:val="none" w:sz="0" w:space="0" w:color="auto"/>
        <w:left w:val="none" w:sz="0" w:space="0" w:color="auto"/>
        <w:bottom w:val="none" w:sz="0" w:space="0" w:color="auto"/>
        <w:right w:val="none" w:sz="0" w:space="0" w:color="auto"/>
      </w:divBdr>
    </w:div>
    <w:div w:id="688869088">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38284987">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52624079">
      <w:bodyDiv w:val="1"/>
      <w:marLeft w:val="0"/>
      <w:marRight w:val="0"/>
      <w:marTop w:val="0"/>
      <w:marBottom w:val="0"/>
      <w:divBdr>
        <w:top w:val="none" w:sz="0" w:space="0" w:color="auto"/>
        <w:left w:val="none" w:sz="0" w:space="0" w:color="auto"/>
        <w:bottom w:val="none" w:sz="0" w:space="0" w:color="auto"/>
        <w:right w:val="none" w:sz="0" w:space="0" w:color="auto"/>
      </w:divBdr>
    </w:div>
    <w:div w:id="764764599">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84466363">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29517569">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156264">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06768755">
      <w:bodyDiv w:val="1"/>
      <w:marLeft w:val="0"/>
      <w:marRight w:val="0"/>
      <w:marTop w:val="0"/>
      <w:marBottom w:val="0"/>
      <w:divBdr>
        <w:top w:val="none" w:sz="0" w:space="0" w:color="auto"/>
        <w:left w:val="none" w:sz="0" w:space="0" w:color="auto"/>
        <w:bottom w:val="none" w:sz="0" w:space="0" w:color="auto"/>
        <w:right w:val="none" w:sz="0" w:space="0" w:color="auto"/>
      </w:divBdr>
    </w:div>
    <w:div w:id="927159294">
      <w:bodyDiv w:val="1"/>
      <w:marLeft w:val="0"/>
      <w:marRight w:val="0"/>
      <w:marTop w:val="0"/>
      <w:marBottom w:val="0"/>
      <w:divBdr>
        <w:top w:val="none" w:sz="0" w:space="0" w:color="auto"/>
        <w:left w:val="none" w:sz="0" w:space="0" w:color="auto"/>
        <w:bottom w:val="none" w:sz="0" w:space="0" w:color="auto"/>
        <w:right w:val="none" w:sz="0" w:space="0" w:color="auto"/>
      </w:divBdr>
    </w:div>
    <w:div w:id="930965763">
      <w:bodyDiv w:val="1"/>
      <w:marLeft w:val="0"/>
      <w:marRight w:val="0"/>
      <w:marTop w:val="0"/>
      <w:marBottom w:val="0"/>
      <w:divBdr>
        <w:top w:val="none" w:sz="0" w:space="0" w:color="auto"/>
        <w:left w:val="none" w:sz="0" w:space="0" w:color="auto"/>
        <w:bottom w:val="none" w:sz="0" w:space="0" w:color="auto"/>
        <w:right w:val="none" w:sz="0" w:space="0" w:color="auto"/>
      </w:divBdr>
    </w:div>
    <w:div w:id="934171244">
      <w:bodyDiv w:val="1"/>
      <w:marLeft w:val="0"/>
      <w:marRight w:val="0"/>
      <w:marTop w:val="0"/>
      <w:marBottom w:val="0"/>
      <w:divBdr>
        <w:top w:val="none" w:sz="0" w:space="0" w:color="auto"/>
        <w:left w:val="none" w:sz="0" w:space="0" w:color="auto"/>
        <w:bottom w:val="none" w:sz="0" w:space="0" w:color="auto"/>
        <w:right w:val="none" w:sz="0" w:space="0" w:color="auto"/>
      </w:divBdr>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990789938">
      <w:bodyDiv w:val="1"/>
      <w:marLeft w:val="0"/>
      <w:marRight w:val="0"/>
      <w:marTop w:val="0"/>
      <w:marBottom w:val="0"/>
      <w:divBdr>
        <w:top w:val="none" w:sz="0" w:space="0" w:color="auto"/>
        <w:left w:val="none" w:sz="0" w:space="0" w:color="auto"/>
        <w:bottom w:val="none" w:sz="0" w:space="0" w:color="auto"/>
        <w:right w:val="none" w:sz="0" w:space="0" w:color="auto"/>
      </w:divBdr>
    </w:div>
    <w:div w:id="998659171">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1785105">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132483790">
      <w:bodyDiv w:val="1"/>
      <w:marLeft w:val="0"/>
      <w:marRight w:val="0"/>
      <w:marTop w:val="0"/>
      <w:marBottom w:val="0"/>
      <w:divBdr>
        <w:top w:val="none" w:sz="0" w:space="0" w:color="auto"/>
        <w:left w:val="none" w:sz="0" w:space="0" w:color="auto"/>
        <w:bottom w:val="none" w:sz="0" w:space="0" w:color="auto"/>
        <w:right w:val="none" w:sz="0" w:space="0" w:color="auto"/>
      </w:divBdr>
    </w:div>
    <w:div w:id="1156071484">
      <w:bodyDiv w:val="1"/>
      <w:marLeft w:val="0"/>
      <w:marRight w:val="0"/>
      <w:marTop w:val="0"/>
      <w:marBottom w:val="0"/>
      <w:divBdr>
        <w:top w:val="none" w:sz="0" w:space="0" w:color="auto"/>
        <w:left w:val="none" w:sz="0" w:space="0" w:color="auto"/>
        <w:bottom w:val="none" w:sz="0" w:space="0" w:color="auto"/>
        <w:right w:val="none" w:sz="0" w:space="0" w:color="auto"/>
      </w:divBdr>
    </w:div>
    <w:div w:id="1165970355">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45454558">
      <w:bodyDiv w:val="1"/>
      <w:marLeft w:val="0"/>
      <w:marRight w:val="0"/>
      <w:marTop w:val="0"/>
      <w:marBottom w:val="0"/>
      <w:divBdr>
        <w:top w:val="none" w:sz="0" w:space="0" w:color="auto"/>
        <w:left w:val="none" w:sz="0" w:space="0" w:color="auto"/>
        <w:bottom w:val="none" w:sz="0" w:space="0" w:color="auto"/>
        <w:right w:val="none" w:sz="0" w:space="0" w:color="auto"/>
      </w:divBdr>
    </w:div>
    <w:div w:id="1272660965">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4989798">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7397999">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29360925">
      <w:bodyDiv w:val="1"/>
      <w:marLeft w:val="0"/>
      <w:marRight w:val="0"/>
      <w:marTop w:val="0"/>
      <w:marBottom w:val="0"/>
      <w:divBdr>
        <w:top w:val="none" w:sz="0" w:space="0" w:color="auto"/>
        <w:left w:val="none" w:sz="0" w:space="0" w:color="auto"/>
        <w:bottom w:val="none" w:sz="0" w:space="0" w:color="auto"/>
        <w:right w:val="none" w:sz="0" w:space="0" w:color="auto"/>
      </w:divBdr>
    </w:div>
    <w:div w:id="1333945347">
      <w:bodyDiv w:val="1"/>
      <w:marLeft w:val="0"/>
      <w:marRight w:val="0"/>
      <w:marTop w:val="0"/>
      <w:marBottom w:val="0"/>
      <w:divBdr>
        <w:top w:val="none" w:sz="0" w:space="0" w:color="auto"/>
        <w:left w:val="none" w:sz="0" w:space="0" w:color="auto"/>
        <w:bottom w:val="none" w:sz="0" w:space="0" w:color="auto"/>
        <w:right w:val="none" w:sz="0" w:space="0" w:color="auto"/>
      </w:divBdr>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14618990">
      <w:bodyDiv w:val="1"/>
      <w:marLeft w:val="0"/>
      <w:marRight w:val="0"/>
      <w:marTop w:val="0"/>
      <w:marBottom w:val="0"/>
      <w:divBdr>
        <w:top w:val="none" w:sz="0" w:space="0" w:color="auto"/>
        <w:left w:val="none" w:sz="0" w:space="0" w:color="auto"/>
        <w:bottom w:val="none" w:sz="0" w:space="0" w:color="auto"/>
        <w:right w:val="none" w:sz="0" w:space="0" w:color="auto"/>
      </w:divBdr>
    </w:div>
    <w:div w:id="143759838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57137943">
      <w:bodyDiv w:val="1"/>
      <w:marLeft w:val="0"/>
      <w:marRight w:val="0"/>
      <w:marTop w:val="0"/>
      <w:marBottom w:val="0"/>
      <w:divBdr>
        <w:top w:val="none" w:sz="0" w:space="0" w:color="auto"/>
        <w:left w:val="none" w:sz="0" w:space="0" w:color="auto"/>
        <w:bottom w:val="none" w:sz="0" w:space="0" w:color="auto"/>
        <w:right w:val="none" w:sz="0" w:space="0" w:color="auto"/>
      </w:divBdr>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1288381">
      <w:bodyDiv w:val="1"/>
      <w:marLeft w:val="0"/>
      <w:marRight w:val="0"/>
      <w:marTop w:val="0"/>
      <w:marBottom w:val="0"/>
      <w:divBdr>
        <w:top w:val="none" w:sz="0" w:space="0" w:color="auto"/>
        <w:left w:val="none" w:sz="0" w:space="0" w:color="auto"/>
        <w:bottom w:val="none" w:sz="0" w:space="0" w:color="auto"/>
        <w:right w:val="none" w:sz="0" w:space="0" w:color="auto"/>
      </w:divBdr>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38736268">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579291328">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66785731">
      <w:bodyDiv w:val="1"/>
      <w:marLeft w:val="0"/>
      <w:marRight w:val="0"/>
      <w:marTop w:val="0"/>
      <w:marBottom w:val="0"/>
      <w:divBdr>
        <w:top w:val="none" w:sz="0" w:space="0" w:color="auto"/>
        <w:left w:val="none" w:sz="0" w:space="0" w:color="auto"/>
        <w:bottom w:val="none" w:sz="0" w:space="0" w:color="auto"/>
        <w:right w:val="none" w:sz="0" w:space="0" w:color="auto"/>
      </w:divBdr>
    </w:div>
    <w:div w:id="1671130993">
      <w:bodyDiv w:val="1"/>
      <w:marLeft w:val="0"/>
      <w:marRight w:val="0"/>
      <w:marTop w:val="0"/>
      <w:marBottom w:val="0"/>
      <w:divBdr>
        <w:top w:val="none" w:sz="0" w:space="0" w:color="auto"/>
        <w:left w:val="none" w:sz="0" w:space="0" w:color="auto"/>
        <w:bottom w:val="none" w:sz="0" w:space="0" w:color="auto"/>
        <w:right w:val="none" w:sz="0" w:space="0" w:color="auto"/>
      </w:divBdr>
    </w:div>
    <w:div w:id="1673988927">
      <w:bodyDiv w:val="1"/>
      <w:marLeft w:val="0"/>
      <w:marRight w:val="0"/>
      <w:marTop w:val="0"/>
      <w:marBottom w:val="0"/>
      <w:divBdr>
        <w:top w:val="none" w:sz="0" w:space="0" w:color="auto"/>
        <w:left w:val="none" w:sz="0" w:space="0" w:color="auto"/>
        <w:bottom w:val="none" w:sz="0" w:space="0" w:color="auto"/>
        <w:right w:val="none" w:sz="0" w:space="0" w:color="auto"/>
      </w:divBdr>
    </w:div>
    <w:div w:id="1680308826">
      <w:bodyDiv w:val="1"/>
      <w:marLeft w:val="0"/>
      <w:marRight w:val="0"/>
      <w:marTop w:val="0"/>
      <w:marBottom w:val="0"/>
      <w:divBdr>
        <w:top w:val="none" w:sz="0" w:space="0" w:color="auto"/>
        <w:left w:val="none" w:sz="0" w:space="0" w:color="auto"/>
        <w:bottom w:val="none" w:sz="0" w:space="0" w:color="auto"/>
        <w:right w:val="none" w:sz="0" w:space="0" w:color="auto"/>
      </w:divBdr>
    </w:div>
    <w:div w:id="1689022600">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09985138">
      <w:bodyDiv w:val="1"/>
      <w:marLeft w:val="0"/>
      <w:marRight w:val="0"/>
      <w:marTop w:val="0"/>
      <w:marBottom w:val="0"/>
      <w:divBdr>
        <w:top w:val="none" w:sz="0" w:space="0" w:color="auto"/>
        <w:left w:val="none" w:sz="0" w:space="0" w:color="auto"/>
        <w:bottom w:val="none" w:sz="0" w:space="0" w:color="auto"/>
        <w:right w:val="none" w:sz="0" w:space="0" w:color="auto"/>
      </w:divBdr>
    </w:div>
    <w:div w:id="1721443070">
      <w:bodyDiv w:val="1"/>
      <w:marLeft w:val="0"/>
      <w:marRight w:val="0"/>
      <w:marTop w:val="0"/>
      <w:marBottom w:val="0"/>
      <w:divBdr>
        <w:top w:val="none" w:sz="0" w:space="0" w:color="auto"/>
        <w:left w:val="none" w:sz="0" w:space="0" w:color="auto"/>
        <w:bottom w:val="none" w:sz="0" w:space="0" w:color="auto"/>
        <w:right w:val="none" w:sz="0" w:space="0" w:color="auto"/>
      </w:divBdr>
    </w:div>
    <w:div w:id="1795174708">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03885245">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2819198">
      <w:bodyDiv w:val="1"/>
      <w:marLeft w:val="0"/>
      <w:marRight w:val="0"/>
      <w:marTop w:val="0"/>
      <w:marBottom w:val="0"/>
      <w:divBdr>
        <w:top w:val="none" w:sz="0" w:space="0" w:color="auto"/>
        <w:left w:val="none" w:sz="0" w:space="0" w:color="auto"/>
        <w:bottom w:val="none" w:sz="0" w:space="0" w:color="auto"/>
        <w:right w:val="none" w:sz="0" w:space="0" w:color="auto"/>
      </w:divBdr>
    </w:div>
    <w:div w:id="1877234961">
      <w:bodyDiv w:val="1"/>
      <w:marLeft w:val="0"/>
      <w:marRight w:val="0"/>
      <w:marTop w:val="0"/>
      <w:marBottom w:val="0"/>
      <w:divBdr>
        <w:top w:val="none" w:sz="0" w:space="0" w:color="auto"/>
        <w:left w:val="none" w:sz="0" w:space="0" w:color="auto"/>
        <w:bottom w:val="none" w:sz="0" w:space="0" w:color="auto"/>
        <w:right w:val="none" w:sz="0" w:space="0" w:color="auto"/>
      </w:divBdr>
    </w:div>
    <w:div w:id="1880388474">
      <w:bodyDiv w:val="1"/>
      <w:marLeft w:val="0"/>
      <w:marRight w:val="0"/>
      <w:marTop w:val="0"/>
      <w:marBottom w:val="0"/>
      <w:divBdr>
        <w:top w:val="none" w:sz="0" w:space="0" w:color="auto"/>
        <w:left w:val="none" w:sz="0" w:space="0" w:color="auto"/>
        <w:bottom w:val="none" w:sz="0" w:space="0" w:color="auto"/>
        <w:right w:val="none" w:sz="0" w:space="0" w:color="auto"/>
      </w:divBdr>
    </w:div>
    <w:div w:id="1894658982">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3605207">
      <w:bodyDiv w:val="1"/>
      <w:marLeft w:val="0"/>
      <w:marRight w:val="0"/>
      <w:marTop w:val="0"/>
      <w:marBottom w:val="0"/>
      <w:divBdr>
        <w:top w:val="none" w:sz="0" w:space="0" w:color="auto"/>
        <w:left w:val="none" w:sz="0" w:space="0" w:color="auto"/>
        <w:bottom w:val="none" w:sz="0" w:space="0" w:color="auto"/>
        <w:right w:val="none" w:sz="0" w:space="0" w:color="auto"/>
      </w:divBdr>
    </w:div>
    <w:div w:id="1943757096">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039045414">
      <w:bodyDiv w:val="1"/>
      <w:marLeft w:val="0"/>
      <w:marRight w:val="0"/>
      <w:marTop w:val="0"/>
      <w:marBottom w:val="0"/>
      <w:divBdr>
        <w:top w:val="none" w:sz="0" w:space="0" w:color="auto"/>
        <w:left w:val="none" w:sz="0" w:space="0" w:color="auto"/>
        <w:bottom w:val="none" w:sz="0" w:space="0" w:color="auto"/>
        <w:right w:val="none" w:sz="0" w:space="0" w:color="auto"/>
      </w:divBdr>
    </w:div>
    <w:div w:id="2053068088">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26" Type="http://schemas.openxmlformats.org/officeDocument/2006/relationships/image" Target="media/image14.emf"/><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image" Target="media/image13.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29" Type="http://schemas.openxmlformats.org/officeDocument/2006/relationships/image" Target="media/image17.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emf"/><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11.emf"/><Relationship Id="rId28" Type="http://schemas.openxmlformats.org/officeDocument/2006/relationships/image" Target="media/image16.emf"/><Relationship Id="rId10" Type="http://schemas.openxmlformats.org/officeDocument/2006/relationships/webSettings" Target="webSettings.xml"/><Relationship Id="rId19" Type="http://schemas.openxmlformats.org/officeDocument/2006/relationships/image" Target="media/image7.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10.emf"/><Relationship Id="rId27" Type="http://schemas.openxmlformats.org/officeDocument/2006/relationships/image" Target="media/image15.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3.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4.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6.xml><?xml version="1.0" encoding="utf-8"?>
<ds:datastoreItem xmlns:ds="http://schemas.openxmlformats.org/officeDocument/2006/customXml" ds:itemID="{54BE6DBB-AB09-47B2-B7D2-76D7B40C43F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21</Pages>
  <Words>1896</Words>
  <Characters>10812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6</cp:revision>
  <dcterms:created xsi:type="dcterms:W3CDTF">2025-10-02T09:54:00Z</dcterms:created>
  <dcterms:modified xsi:type="dcterms:W3CDTF">2025-10-03T08:38:00Z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